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635" w:rsidRDefault="00BF3A61">
      <w:pPr>
        <w:spacing w:after="0" w:line="360" w:lineRule="auto"/>
        <w:ind w:left="1" w:hanging="3"/>
        <w:jc w:val="center"/>
        <w:rPr>
          <w:rFonts w:ascii="Bookman Old Style" w:eastAsia="Bookman Old Style" w:hAnsi="Bookman Old Style" w:cs="Bookman Old Style"/>
          <w:sz w:val="36"/>
          <w:szCs w:val="36"/>
        </w:rPr>
      </w:pPr>
      <w:bookmarkStart w:id="0" w:name="_GoBack"/>
      <w:bookmarkEnd w:id="0"/>
      <w:r>
        <w:rPr>
          <w:rFonts w:ascii="Bookman Old Style" w:eastAsia="Bookman Old Style" w:hAnsi="Bookman Old Style" w:cs="Bookman Old Style"/>
          <w:b/>
          <w:sz w:val="36"/>
          <w:szCs w:val="36"/>
        </w:rPr>
        <w:t>U   S   A   C</w:t>
      </w: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BF3A61">
      <w:pPr>
        <w:spacing w:after="0" w:line="240" w:lineRule="auto"/>
        <w:ind w:left="1" w:hanging="3"/>
        <w:jc w:val="center"/>
        <w:rPr>
          <w:rFonts w:ascii="Bookman Old Style" w:eastAsia="Bookman Old Style" w:hAnsi="Bookman Old Style" w:cs="Bookman Old Style"/>
          <w:sz w:val="34"/>
          <w:szCs w:val="34"/>
        </w:rPr>
      </w:pPr>
      <w:r>
        <w:rPr>
          <w:rFonts w:ascii="Bookman Old Style" w:eastAsia="Bookman Old Style" w:hAnsi="Bookman Old Style" w:cs="Bookman Old Style"/>
          <w:b/>
          <w:sz w:val="34"/>
          <w:szCs w:val="34"/>
        </w:rPr>
        <w:t>“LA CRISIS FIANCIERA DE LA USAC”</w:t>
      </w: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BF3A61">
      <w:pPr>
        <w:spacing w:after="0" w:line="240" w:lineRule="auto"/>
        <w:ind w:left="1" w:hanging="3"/>
        <w:jc w:val="center"/>
        <w:rPr>
          <w:rFonts w:ascii="Bookman Old Style" w:eastAsia="Bookman Old Style" w:hAnsi="Bookman Old Style" w:cs="Bookman Old Style"/>
          <w:sz w:val="26"/>
          <w:szCs w:val="26"/>
        </w:rPr>
      </w:pPr>
      <w:r>
        <w:rPr>
          <w:rFonts w:ascii="Bookman Old Style" w:eastAsia="Bookman Old Style" w:hAnsi="Bookman Old Style" w:cs="Bookman Old Style"/>
          <w:i/>
          <w:sz w:val="26"/>
          <w:szCs w:val="26"/>
        </w:rPr>
        <w:t>Por: IIES-IPNUSAC</w:t>
      </w: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5D5635">
      <w:pPr>
        <w:spacing w:after="0" w:line="240" w:lineRule="auto"/>
        <w:ind w:left="0" w:hanging="2"/>
        <w:jc w:val="center"/>
        <w:rPr>
          <w:rFonts w:ascii="Bookman Old Style" w:eastAsia="Bookman Old Style" w:hAnsi="Bookman Old Style" w:cs="Bookman Old Style"/>
        </w:rPr>
      </w:pPr>
    </w:p>
    <w:p w:rsidR="005D5635" w:rsidRDefault="00BF3A61">
      <w:pPr>
        <w:spacing w:after="0" w:line="240" w:lineRule="auto"/>
        <w:ind w:left="0" w:hanging="2"/>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Guatemala, octubre 2018</w:t>
      </w:r>
    </w:p>
    <w:p w:rsidR="005D5635" w:rsidRDefault="00BF3A61">
      <w:pPr>
        <w:spacing w:after="0"/>
        <w:ind w:left="0" w:hanging="2"/>
        <w:jc w:val="center"/>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LA USAC Y SU SITUACIÓN FINANCIERA 2018</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 xml:space="preserve">El 2018 es un año en donde la Universidad de San Carlos de Guatemala afronta una crisis financiera y presupuestaria sin precedentes de los últimos años, sus causas son diversas, entre ellas, la creación de diferentes Centros Universitarios departamentales </w:t>
      </w:r>
      <w:r>
        <w:rPr>
          <w:rFonts w:ascii="Bookman Old Style" w:eastAsia="Bookman Old Style" w:hAnsi="Bookman Old Style" w:cs="Bookman Old Style"/>
          <w:sz w:val="24"/>
          <w:szCs w:val="24"/>
        </w:rPr>
        <w:t>y de nuevas carreras, así como el aporte estatal incompleto que durante años ha recibido la Universidad por parte del Ministerio de Finanzas Públicas (MINFIN).</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Con la creación de los Centros Universitarios departamentales se incrementó la población estudiantil, ya que, en los últimos nueve años, hubo un aumento del 42% de estudiantes (a septiembre del 2018, existen 198 mil estudiantes inscritos). Por lo tanto, es</w:t>
      </w:r>
      <w:r>
        <w:rPr>
          <w:rFonts w:ascii="Bookman Old Style" w:eastAsia="Bookman Old Style" w:hAnsi="Bookman Old Style" w:cs="Bookman Old Style"/>
          <w:sz w:val="24"/>
          <w:szCs w:val="24"/>
        </w:rPr>
        <w:t>te constante crecimiento de la cobertura de educación superior, también aumentó los costos de funcionamiento de la Universidad. Cabe resaltar que sólo en el 2009 se crearon cuatro Centros Universitarios departamentales (CUSAQ, CUNPROGRESO, CUNBAV, CUNTOTO)</w:t>
      </w:r>
      <w:r>
        <w:rPr>
          <w:rFonts w:ascii="Bookman Old Style" w:eastAsia="Bookman Old Style" w:hAnsi="Bookman Old Style" w:cs="Bookman Old Style"/>
          <w:sz w:val="24"/>
          <w:szCs w:val="24"/>
        </w:rPr>
        <w:t>, además de esto, se han diseñado procesos de  mejoramiento del nivel académico, entre los que resalta: procesos de acreditación y reacreditación de las carreras que administran, en seguimiento a estándares de calidad a nivel internacional.</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t>Sumado a lo a</w:t>
      </w:r>
      <w:r>
        <w:rPr>
          <w:rFonts w:ascii="Bookman Old Style" w:eastAsia="Bookman Old Style" w:hAnsi="Bookman Old Style" w:cs="Bookman Old Style"/>
          <w:sz w:val="24"/>
          <w:szCs w:val="24"/>
        </w:rPr>
        <w:t xml:space="preserve">nterior, del 2015 al 2017, el MINFIN dejó de trasladar a la Universidad Q293,2 millones de lo asignado, no obstante, entre el 2016 y 2017 también se crearon dos Centros Universitarios departamentales (CUNSAC, CUNREU). </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t>Con el objetivo de cumplir con el f</w:t>
      </w:r>
      <w:r>
        <w:rPr>
          <w:rFonts w:ascii="Bookman Old Style" w:eastAsia="Bookman Old Style" w:hAnsi="Bookman Old Style" w:cs="Bookman Old Style"/>
          <w:sz w:val="24"/>
          <w:szCs w:val="24"/>
        </w:rPr>
        <w:t>in fundamental de la USAC</w:t>
      </w:r>
      <w:r>
        <w:rPr>
          <w:rFonts w:ascii="Bookman Old Style" w:eastAsia="Bookman Old Style" w:hAnsi="Bookman Old Style" w:cs="Bookman Old Style"/>
          <w:sz w:val="24"/>
          <w:szCs w:val="24"/>
          <w:vertAlign w:val="superscript"/>
        </w:rPr>
        <w:footnoteReference w:id="1"/>
      </w:r>
      <w:r>
        <w:rPr>
          <w:rFonts w:ascii="Bookman Old Style" w:eastAsia="Bookman Old Style" w:hAnsi="Bookman Old Style" w:cs="Bookman Old Style"/>
          <w:sz w:val="24"/>
          <w:szCs w:val="24"/>
        </w:rPr>
        <w:t xml:space="preserve">, este crecimiento en cobertura y calidad educativa a vinel nacional, ha incrementado la necesidad de presupuesto, es así que para el 2018 se estimó una asignación </w:t>
      </w:r>
      <w:r>
        <w:rPr>
          <w:rFonts w:ascii="Bookman Old Style" w:eastAsia="Bookman Old Style" w:hAnsi="Bookman Old Style" w:cs="Bookman Old Style"/>
          <w:sz w:val="24"/>
          <w:szCs w:val="24"/>
        </w:rPr>
        <w:lastRenderedPageBreak/>
        <w:t>presupuestaria adicional de Q160,0 millones, esto, para mantener l</w:t>
      </w:r>
      <w:r>
        <w:rPr>
          <w:rFonts w:ascii="Bookman Old Style" w:eastAsia="Bookman Old Style" w:hAnsi="Bookman Old Style" w:cs="Bookman Old Style"/>
          <w:sz w:val="24"/>
          <w:szCs w:val="24"/>
        </w:rPr>
        <w:t>a prestación de servicios educativos en todos los Centros Universitarios del país.</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Por otro lado, la no aprobación del Presupuesto de Ingresos y Egresos del Estado para el ejercicio fiscal 2018, por parte del Congreso de la República, originó la falta de </w:t>
      </w:r>
      <w:r>
        <w:rPr>
          <w:rFonts w:ascii="Bookman Old Style" w:eastAsia="Bookman Old Style" w:hAnsi="Bookman Old Style" w:cs="Bookman Old Style"/>
          <w:sz w:val="24"/>
          <w:szCs w:val="24"/>
        </w:rPr>
        <w:t>financiamiento al presupuesto de la USAC aprobado por el Consejo Superior Universitario (CSU), de aproximadamente Q228,2 millones para el 2018, situación que marca aún más el déficit financiero de la Universidad.</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b/>
          <w:i/>
          <w:sz w:val="24"/>
          <w:szCs w:val="24"/>
        </w:rPr>
        <w:t xml:space="preserve">Cobertura de educación superior por parte </w:t>
      </w:r>
      <w:r>
        <w:rPr>
          <w:rFonts w:ascii="Bookman Old Style" w:eastAsia="Bookman Old Style" w:hAnsi="Bookman Old Style" w:cs="Bookman Old Style"/>
          <w:b/>
          <w:i/>
          <w:sz w:val="24"/>
          <w:szCs w:val="24"/>
        </w:rPr>
        <w:t>de la USAC</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Previo a describir el comportamiento de los ingresos de la USAC, es pertinente presentar la cobertura en educación superior que la Universidad tiene en el país, tomando en cuenta la asignación presupuestaria por cada Centro Universitario y haciendo una rel</w:t>
      </w:r>
      <w:r>
        <w:rPr>
          <w:rFonts w:ascii="Bookman Old Style" w:eastAsia="Bookman Old Style" w:hAnsi="Bookman Old Style" w:cs="Bookman Old Style"/>
          <w:sz w:val="24"/>
          <w:szCs w:val="24"/>
        </w:rPr>
        <w:t>ación con el número de estudiantes inscritos en el 2018.</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La presencia de la Universidad está en todo el país, ya que se cuenta con un Centro Universitario en cada departamento y tal como se mencionó anteriormente, existen casi 200 mil estudiantes inscrito</w:t>
      </w:r>
      <w:r>
        <w:rPr>
          <w:rFonts w:ascii="Bookman Old Style" w:eastAsia="Bookman Old Style" w:hAnsi="Bookman Old Style" w:cs="Bookman Old Style"/>
          <w:sz w:val="24"/>
          <w:szCs w:val="24"/>
        </w:rPr>
        <w:t>s en la USAC, donde el 61% se encuentra en el Campus Central y el 39% se distribuye en las sedes departamentales. Es por ello que la sede central recibe mayor asignación presupuestaria que el resto, sin embargo, son casi Q300 millones destinados a los Cent</w:t>
      </w:r>
      <w:r>
        <w:rPr>
          <w:rFonts w:ascii="Bookman Old Style" w:eastAsia="Bookman Old Style" w:hAnsi="Bookman Old Style" w:cs="Bookman Old Style"/>
          <w:sz w:val="24"/>
          <w:szCs w:val="24"/>
        </w:rPr>
        <w:t xml:space="preserve">ros Universitarios para el 2018. </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center"/>
        <w:rPr>
          <w:rFonts w:ascii="Bookman Old Style" w:eastAsia="Bookman Old Style" w:hAnsi="Bookman Old Style" w:cs="Bookman Old Style"/>
        </w:rPr>
      </w:pPr>
      <w:r>
        <w:rPr>
          <w:rFonts w:ascii="Bookman Old Style" w:eastAsia="Bookman Old Style" w:hAnsi="Bookman Old Style" w:cs="Bookman Old Style"/>
          <w:b/>
        </w:rPr>
        <w:t>Asignación presupuestaria por Centro Universitario 2018</w:t>
      </w:r>
    </w:p>
    <w:p w:rsidR="005D5635" w:rsidRDefault="005D5635">
      <w:pPr>
        <w:spacing w:after="0" w:line="360" w:lineRule="auto"/>
        <w:ind w:left="0" w:hanging="2"/>
        <w:jc w:val="center"/>
        <w:rPr>
          <w:rFonts w:ascii="Bookman Old Style" w:eastAsia="Bookman Old Style" w:hAnsi="Bookman Old Style" w:cs="Bookman Old Style"/>
        </w:rPr>
      </w:pPr>
    </w:p>
    <w:p w:rsidR="005D5635" w:rsidRDefault="00BF3A61">
      <w:pPr>
        <w:spacing w:after="0" w:line="360" w:lineRule="auto"/>
        <w:ind w:left="0" w:hanging="2"/>
        <w:jc w:val="center"/>
        <w:rPr>
          <w:rFonts w:ascii="Bookman Old Style" w:eastAsia="Bookman Old Style" w:hAnsi="Bookman Old Style" w:cs="Bookman Old Style"/>
        </w:rPr>
      </w:pPr>
      <w:r>
        <w:rPr>
          <w:rFonts w:ascii="Bookman Old Style" w:eastAsia="Bookman Old Style" w:hAnsi="Bookman Old Style" w:cs="Bookman Old Style"/>
          <w:b/>
          <w:noProof/>
        </w:rPr>
        <w:drawing>
          <wp:inline distT="0" distB="0" distL="114300" distR="114300">
            <wp:extent cx="5962650" cy="4742815"/>
            <wp:effectExtent l="0" t="0" r="0" b="0"/>
            <wp:docPr id="10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62650" cy="4742815"/>
                    </a:xfrm>
                    <a:prstGeom prst="rect">
                      <a:avLst/>
                    </a:prstGeom>
                    <a:ln/>
                  </pic:spPr>
                </pic:pic>
              </a:graphicData>
            </a:graphic>
          </wp:inline>
        </w:drawing>
      </w:r>
    </w:p>
    <w:p w:rsidR="005D5635" w:rsidRDefault="005D5635">
      <w:pPr>
        <w:spacing w:after="0" w:line="240" w:lineRule="auto"/>
        <w:ind w:left="0" w:hanging="2"/>
        <w:jc w:val="both"/>
        <w:rPr>
          <w:rFonts w:ascii="Bookman Old Style" w:eastAsia="Bookman Old Style" w:hAnsi="Bookman Old Style" w:cs="Bookman Old Style"/>
          <w:sz w:val="16"/>
          <w:szCs w:val="16"/>
        </w:rPr>
      </w:pPr>
    </w:p>
    <w:p w:rsidR="005D5635" w:rsidRDefault="00BF3A61">
      <w:pPr>
        <w:spacing w:after="0" w:line="240" w:lineRule="auto"/>
        <w:ind w:left="0" w:hanging="2"/>
        <w:jc w:val="both"/>
        <w:rPr>
          <w:rFonts w:ascii="Bookman Old Style" w:eastAsia="Bookman Old Style" w:hAnsi="Bookman Old Style" w:cs="Bookman Old Style"/>
          <w:sz w:val="16"/>
          <w:szCs w:val="16"/>
        </w:rPr>
      </w:pPr>
      <w:r>
        <w:rPr>
          <w:rFonts w:ascii="Bookman Old Style" w:eastAsia="Bookman Old Style" w:hAnsi="Bookman Old Style" w:cs="Bookman Old Style"/>
          <w:i/>
          <w:sz w:val="16"/>
          <w:szCs w:val="16"/>
        </w:rPr>
        <w:t>Fuente: Elaboración propia, con datos del Departamento de Presupuesto de la Dirección General Financiera y el Departamento de Registro y Estadística, USAC</w:t>
      </w:r>
    </w:p>
    <w:p w:rsidR="005D5635" w:rsidRDefault="005D5635">
      <w:pPr>
        <w:spacing w:after="0" w:line="360" w:lineRule="auto"/>
        <w:ind w:left="0" w:hanging="2"/>
        <w:jc w:val="both"/>
        <w:rPr>
          <w:rFonts w:ascii="Bookman Old Style" w:eastAsia="Bookman Old Style" w:hAnsi="Bookman Old Style" w:cs="Bookman Old Style"/>
          <w:sz w:val="16"/>
          <w:szCs w:val="16"/>
        </w:rPr>
      </w:pPr>
    </w:p>
    <w:p w:rsidR="005D5635" w:rsidRDefault="005D5635">
      <w:pPr>
        <w:spacing w:after="0" w:line="360" w:lineRule="auto"/>
        <w:ind w:left="0" w:hanging="2"/>
        <w:jc w:val="both"/>
        <w:rPr>
          <w:rFonts w:ascii="Bookman Old Style" w:eastAsia="Bookman Old Style" w:hAnsi="Bookman Old Style" w:cs="Bookman Old Style"/>
          <w:sz w:val="16"/>
          <w:szCs w:val="16"/>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Es importante resaltar la inversión en los Centros Universitarios departamentales, conscientes que la inversión en educación constituye desarrollo, asimismo, es estratégico ya que permite calificar la mano de obra barata, inserción en el proceso productiv</w:t>
      </w:r>
      <w:r>
        <w:rPr>
          <w:rFonts w:ascii="Bookman Old Style" w:eastAsia="Bookman Old Style" w:hAnsi="Bookman Old Style" w:cs="Bookman Old Style"/>
          <w:sz w:val="24"/>
          <w:szCs w:val="24"/>
        </w:rPr>
        <w:t>o, obteniendo un ingreso que permita satisfacer necesidades básicas, contribuir a resolver gradualmente la desigualdad, pobreza y violencia en el país.</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b/>
          <w:i/>
          <w:sz w:val="24"/>
          <w:szCs w:val="24"/>
        </w:rPr>
        <w:t>Evolución de los ingresos de la USAC</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t>Una vez descrita la cobertura de educación superior, es preciso</w:t>
      </w:r>
      <w:r>
        <w:rPr>
          <w:rFonts w:ascii="Bookman Old Style" w:eastAsia="Bookman Old Style" w:hAnsi="Bookman Old Style" w:cs="Bookman Old Style"/>
          <w:sz w:val="24"/>
          <w:szCs w:val="24"/>
        </w:rPr>
        <w:t xml:space="preserve"> presentar el comportamiento de los ingresos de la Universidad para su financiamiento, resaltando la importancia del cálculo del aporte constitucional, mismo que depende del comportamiento de los ingresos ordinarios del Estado</w:t>
      </w:r>
      <w:r>
        <w:rPr>
          <w:rFonts w:ascii="Bookman Old Style" w:eastAsia="Bookman Old Style" w:hAnsi="Bookman Old Style" w:cs="Bookman Old Style"/>
          <w:sz w:val="24"/>
          <w:szCs w:val="24"/>
          <w:vertAlign w:val="superscript"/>
        </w:rPr>
        <w:footnoteReference w:id="2"/>
      </w:r>
      <w:r>
        <w:rPr>
          <w:rFonts w:ascii="Bookman Old Style" w:eastAsia="Bookman Old Style" w:hAnsi="Bookman Old Style" w:cs="Bookman Old Style"/>
          <w:sz w:val="24"/>
          <w:szCs w:val="24"/>
        </w:rPr>
        <w:t>.</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Es importante mencionar qu</w:t>
      </w:r>
      <w:r>
        <w:rPr>
          <w:rFonts w:ascii="Bookman Old Style" w:eastAsia="Bookman Old Style" w:hAnsi="Bookman Old Style" w:cs="Bookman Old Style"/>
          <w:sz w:val="24"/>
          <w:szCs w:val="24"/>
        </w:rPr>
        <w:t xml:space="preserve">e según el artículo 22 de la Ley Orgánica del Presupuesto (Decreto 101-97), el monto de las asignaciones constitucionales se debe determinar tomando en cuenta los rubros de ingresos tributarios </w:t>
      </w:r>
      <w:r>
        <w:rPr>
          <w:rFonts w:ascii="Bookman Old Style" w:eastAsia="Bookman Old Style" w:hAnsi="Bookman Old Style" w:cs="Bookman Old Style"/>
          <w:b/>
          <w:i/>
          <w:sz w:val="24"/>
          <w:szCs w:val="24"/>
        </w:rPr>
        <w:t>sin destino específico y disponibilidad propia del Gobierno</w:t>
      </w:r>
      <w:r>
        <w:rPr>
          <w:rFonts w:ascii="Bookman Old Style" w:eastAsia="Bookman Old Style" w:hAnsi="Bookman Old Style" w:cs="Bookman Old Style"/>
          <w:sz w:val="24"/>
          <w:szCs w:val="24"/>
        </w:rPr>
        <w:t>, c</w:t>
      </w:r>
      <w:r>
        <w:rPr>
          <w:rFonts w:ascii="Bookman Old Style" w:eastAsia="Bookman Old Style" w:hAnsi="Bookman Old Style" w:cs="Bookman Old Style"/>
          <w:sz w:val="24"/>
          <w:szCs w:val="24"/>
        </w:rPr>
        <w:t xml:space="preserve">onforme al comportamiento de la recaudación. Es por ello que el aporte para la USAC </w:t>
      </w:r>
      <w:r>
        <w:rPr>
          <w:rFonts w:ascii="Bookman Old Style" w:eastAsia="Bookman Old Style" w:hAnsi="Bookman Old Style" w:cs="Bookman Old Style"/>
          <w:b/>
          <w:sz w:val="24"/>
          <w:szCs w:val="24"/>
        </w:rPr>
        <w:t>no menor</w:t>
      </w:r>
      <w:r>
        <w:rPr>
          <w:rFonts w:ascii="Bookman Old Style" w:eastAsia="Bookman Old Style" w:hAnsi="Bookman Old Style" w:cs="Bookman Old Style"/>
          <w:sz w:val="24"/>
          <w:szCs w:val="24"/>
        </w:rPr>
        <w:t xml:space="preserve"> al 5% de los ingresos ordinarios</w:t>
      </w:r>
      <w:r>
        <w:rPr>
          <w:rFonts w:ascii="Bookman Old Style" w:eastAsia="Bookman Old Style" w:hAnsi="Bookman Old Style" w:cs="Bookman Old Style"/>
          <w:sz w:val="24"/>
          <w:szCs w:val="24"/>
          <w:vertAlign w:val="superscript"/>
        </w:rPr>
        <w:footnoteReference w:id="3"/>
      </w:r>
      <w:r>
        <w:rPr>
          <w:rFonts w:ascii="Bookman Old Style" w:eastAsia="Bookman Old Style" w:hAnsi="Bookman Old Style" w:cs="Bookman Old Style"/>
          <w:sz w:val="24"/>
          <w:szCs w:val="24"/>
        </w:rPr>
        <w:t xml:space="preserve">, se ha calculado regularmente por parte del MINFIN efectuando una serie de deducciones previas y no sobre la totalidad de dichos </w:t>
      </w:r>
      <w:r>
        <w:rPr>
          <w:rFonts w:ascii="Bookman Old Style" w:eastAsia="Bookman Old Style" w:hAnsi="Bookman Old Style" w:cs="Bookman Old Style"/>
          <w:sz w:val="24"/>
          <w:szCs w:val="24"/>
        </w:rPr>
        <w:t>ingresos.</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Al considerar este método de cálculo se tergiversa la norma constitucional, agregando un límite no incluido en la Constitución Política de la República. Ante esta situación, la Corte de Constitucionalidad dicta sentencia a la acción de inconstit</w:t>
      </w:r>
      <w:r>
        <w:rPr>
          <w:rFonts w:ascii="Bookman Old Style" w:eastAsia="Bookman Old Style" w:hAnsi="Bookman Old Style" w:cs="Bookman Old Style"/>
          <w:sz w:val="24"/>
          <w:szCs w:val="24"/>
        </w:rPr>
        <w:t xml:space="preserve">ucionalidad general parcial promovida por la Universidad de San Carlos de Guatemala, contra la frase </w:t>
      </w:r>
      <w:r>
        <w:rPr>
          <w:rFonts w:ascii="Bookman Old Style" w:eastAsia="Bookman Old Style" w:hAnsi="Bookman Old Style" w:cs="Bookman Old Style"/>
          <w:b/>
          <w:i/>
          <w:sz w:val="24"/>
          <w:szCs w:val="24"/>
        </w:rPr>
        <w:t>“sin destino específico y disponibilidad propia del Gobierno”,</w:t>
      </w:r>
      <w:r>
        <w:rPr>
          <w:rFonts w:ascii="Bookman Old Style" w:eastAsia="Bookman Old Style" w:hAnsi="Bookman Old Style" w:cs="Bookman Old Style"/>
          <w:sz w:val="24"/>
          <w:szCs w:val="24"/>
        </w:rPr>
        <w:t xml:space="preserve"> resolviendo de la siguiente forma</w:t>
      </w:r>
      <w:r>
        <w:rPr>
          <w:rFonts w:ascii="Bookman Old Style" w:eastAsia="Bookman Old Style" w:hAnsi="Bookman Old Style" w:cs="Bookman Old Style"/>
          <w:sz w:val="24"/>
          <w:szCs w:val="24"/>
          <w:vertAlign w:val="superscript"/>
        </w:rPr>
        <w:footnoteReference w:id="4"/>
      </w:r>
      <w:r>
        <w:rPr>
          <w:rFonts w:ascii="Bookman Old Style" w:eastAsia="Bookman Old Style" w:hAnsi="Bookman Old Style" w:cs="Bookman Old Style"/>
          <w:sz w:val="24"/>
          <w:szCs w:val="24"/>
        </w:rPr>
        <w:t>:</w:t>
      </w:r>
    </w:p>
    <w:p w:rsidR="005D5635" w:rsidRDefault="005D5635">
      <w:pPr>
        <w:spacing w:after="0" w:line="360" w:lineRule="auto"/>
        <w:ind w:left="0" w:hanging="2"/>
        <w:jc w:val="both"/>
        <w:rPr>
          <w:rFonts w:ascii="Bookman Old Style" w:eastAsia="Bookman Old Style" w:hAnsi="Bookman Old Style" w:cs="Bookman Old Style"/>
        </w:rPr>
      </w:pPr>
    </w:p>
    <w:p w:rsidR="005D5635" w:rsidRDefault="00BF3A61">
      <w:pPr>
        <w:spacing w:after="0" w:line="360" w:lineRule="auto"/>
        <w:ind w:left="0" w:hanging="2"/>
        <w:jc w:val="both"/>
        <w:rPr>
          <w:rFonts w:ascii="Bookman Old Style" w:eastAsia="Bookman Old Style" w:hAnsi="Bookman Old Style" w:cs="Bookman Old Style"/>
        </w:rPr>
      </w:pPr>
      <w:r>
        <w:rPr>
          <w:rFonts w:ascii="Bookman Old Style" w:eastAsia="Bookman Old Style" w:hAnsi="Bookman Old Style" w:cs="Bookman Old Style"/>
          <w:b/>
        </w:rPr>
        <w:t>Sin lugar</w:t>
      </w:r>
      <w:r>
        <w:rPr>
          <w:rFonts w:ascii="Bookman Old Style" w:eastAsia="Bookman Old Style" w:hAnsi="Bookman Old Style" w:cs="Bookman Old Style"/>
        </w:rPr>
        <w:t xml:space="preserve"> la acción de inconstitucionalidad general parcial, contra la frase </w:t>
      </w:r>
      <w:r>
        <w:rPr>
          <w:rFonts w:ascii="Bookman Old Style" w:eastAsia="Bookman Old Style" w:hAnsi="Bookman Old Style" w:cs="Bookman Old Style"/>
          <w:b/>
          <w:i/>
        </w:rPr>
        <w:t>“y disponibilidad propia del Gobierno”</w:t>
      </w:r>
    </w:p>
    <w:p w:rsidR="005D5635" w:rsidRDefault="005D5635">
      <w:pPr>
        <w:spacing w:after="0" w:line="360" w:lineRule="auto"/>
        <w:ind w:left="0" w:hanging="2"/>
        <w:jc w:val="both"/>
        <w:rPr>
          <w:rFonts w:ascii="Bookman Old Style" w:eastAsia="Bookman Old Style" w:hAnsi="Bookman Old Style" w:cs="Bookman Old Style"/>
        </w:rPr>
      </w:pPr>
    </w:p>
    <w:p w:rsidR="005D5635" w:rsidRDefault="00BF3A61">
      <w:pPr>
        <w:spacing w:after="0" w:line="360" w:lineRule="auto"/>
        <w:ind w:left="0" w:hanging="2"/>
        <w:jc w:val="both"/>
        <w:rPr>
          <w:rFonts w:ascii="Bookman Old Style" w:eastAsia="Bookman Old Style" w:hAnsi="Bookman Old Style" w:cs="Bookman Old Style"/>
        </w:rPr>
      </w:pPr>
      <w:r>
        <w:rPr>
          <w:rFonts w:ascii="Bookman Old Style" w:eastAsia="Bookman Old Style" w:hAnsi="Bookman Old Style" w:cs="Bookman Old Style"/>
          <w:b/>
        </w:rPr>
        <w:lastRenderedPageBreak/>
        <w:t xml:space="preserve">Con lugar </w:t>
      </w:r>
      <w:r>
        <w:rPr>
          <w:rFonts w:ascii="Bookman Old Style" w:eastAsia="Bookman Old Style" w:hAnsi="Bookman Old Style" w:cs="Bookman Old Style"/>
        </w:rPr>
        <w:t xml:space="preserve">la acción de inconstitucionalidad general parcial contra la frase </w:t>
      </w:r>
      <w:r>
        <w:rPr>
          <w:rFonts w:ascii="Bookman Old Style" w:eastAsia="Bookman Old Style" w:hAnsi="Bookman Old Style" w:cs="Bookman Old Style"/>
          <w:b/>
          <w:i/>
        </w:rPr>
        <w:t>“sin destino específico”</w:t>
      </w:r>
      <w:r>
        <w:rPr>
          <w:rFonts w:ascii="Bookman Old Style" w:eastAsia="Bookman Old Style" w:hAnsi="Bookman Old Style" w:cs="Bookman Old Style"/>
        </w:rPr>
        <w:t xml:space="preserve">  </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t>Con dicha sentencia dictada por la Corte de</w:t>
      </w:r>
      <w:r>
        <w:rPr>
          <w:rFonts w:ascii="Bookman Old Style" w:eastAsia="Bookman Old Style" w:hAnsi="Bookman Old Style" w:cs="Bookman Old Style"/>
          <w:sz w:val="24"/>
          <w:szCs w:val="24"/>
        </w:rPr>
        <w:t xml:space="preserve"> Constitucionalidad, en cuanto a la frase </w:t>
      </w:r>
      <w:r>
        <w:rPr>
          <w:rFonts w:ascii="Bookman Old Style" w:eastAsia="Bookman Old Style" w:hAnsi="Bookman Old Style" w:cs="Bookman Old Style"/>
          <w:i/>
          <w:sz w:val="24"/>
          <w:szCs w:val="24"/>
        </w:rPr>
        <w:t>“sin destino específico”,</w:t>
      </w:r>
      <w:r>
        <w:rPr>
          <w:rFonts w:ascii="Bookman Old Style" w:eastAsia="Bookman Old Style" w:hAnsi="Bookman Old Style" w:cs="Bookman Old Style"/>
          <w:sz w:val="24"/>
          <w:szCs w:val="24"/>
        </w:rPr>
        <w:t xml:space="preserve"> el cálculo para el aporte constitucional debiese realizarse sobre la totalidad de los ingresos ordinarios, sin embargo, al dictar </w:t>
      </w:r>
      <w:r>
        <w:rPr>
          <w:rFonts w:ascii="Bookman Old Style" w:eastAsia="Bookman Old Style" w:hAnsi="Bookman Old Style" w:cs="Bookman Old Style"/>
          <w:b/>
          <w:sz w:val="24"/>
          <w:szCs w:val="24"/>
        </w:rPr>
        <w:t>sin lugar</w:t>
      </w:r>
      <w:r>
        <w:rPr>
          <w:rFonts w:ascii="Bookman Old Style" w:eastAsia="Bookman Old Style" w:hAnsi="Bookman Old Style" w:cs="Bookman Old Style"/>
          <w:sz w:val="24"/>
          <w:szCs w:val="24"/>
        </w:rPr>
        <w:t xml:space="preserve"> la acción de inconstitucionalidad contra la fras</w:t>
      </w:r>
      <w:r>
        <w:rPr>
          <w:rFonts w:ascii="Bookman Old Style" w:eastAsia="Bookman Old Style" w:hAnsi="Bookman Old Style" w:cs="Bookman Old Style"/>
          <w:sz w:val="24"/>
          <w:szCs w:val="24"/>
        </w:rPr>
        <w:t>e “</w:t>
      </w:r>
      <w:r>
        <w:rPr>
          <w:rFonts w:ascii="Bookman Old Style" w:eastAsia="Bookman Old Style" w:hAnsi="Bookman Old Style" w:cs="Bookman Old Style"/>
          <w:i/>
          <w:sz w:val="24"/>
          <w:szCs w:val="24"/>
        </w:rPr>
        <w:t xml:space="preserve">y disponibilidad propia del Gobierno”, </w:t>
      </w:r>
      <w:r>
        <w:rPr>
          <w:rFonts w:ascii="Bookman Old Style" w:eastAsia="Bookman Old Style" w:hAnsi="Bookman Old Style" w:cs="Bookman Old Style"/>
          <w:sz w:val="24"/>
          <w:szCs w:val="24"/>
        </w:rPr>
        <w:t xml:space="preserve">los rubros que se deducen para el cálculo de dicho aporte, quedan a discreción de los técnicos del MINFIN. </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b/>
          <w:i/>
          <w:sz w:val="24"/>
          <w:szCs w:val="24"/>
        </w:rPr>
        <w:t xml:space="preserve">“Ese cálculo constituye el secreto mejor guardado del Ministerio de Finanzas Públicas”     </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t xml:space="preserve">Basándonos </w:t>
      </w:r>
      <w:r>
        <w:rPr>
          <w:rFonts w:ascii="Bookman Old Style" w:eastAsia="Bookman Old Style" w:hAnsi="Bookman Old Style" w:cs="Bookman Old Style"/>
          <w:sz w:val="24"/>
          <w:szCs w:val="24"/>
        </w:rPr>
        <w:t xml:space="preserve">en la sentencia anterior de la Corte de Constitucionalidad y, teniendo en cuenta que los ingresos ordinarios son los mismos ingresos tributarios, es preciso determinar el aporte mínimo del 5% que le correspondería a la Universidad, considerando el periodo </w:t>
      </w:r>
      <w:r>
        <w:rPr>
          <w:rFonts w:ascii="Bookman Old Style" w:eastAsia="Bookman Old Style" w:hAnsi="Bookman Old Style" w:cs="Bookman Old Style"/>
          <w:sz w:val="24"/>
          <w:szCs w:val="24"/>
        </w:rPr>
        <w:t>2014-2018. Cabe resaltar que regularmente se toma como un techo el mínimo constitucional.</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Según el total de ingresos ordinarios, el aporte que le correspondería a la Universidad es mayor al aporte entregado por el MINFIN, ya que este último, representa en</w:t>
      </w:r>
      <w:r>
        <w:rPr>
          <w:rFonts w:ascii="Bookman Old Style" w:eastAsia="Bookman Old Style" w:hAnsi="Bookman Old Style" w:cs="Bookman Old Style"/>
          <w:sz w:val="24"/>
          <w:szCs w:val="24"/>
        </w:rPr>
        <w:t xml:space="preserve"> promedio únicamente el 3.0% de los ingresos ordinarios, mientras que el presupuesto aprobado por el CSU representa alrededor del 4%. </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Es aquí donde se puede reflexionar sobre la deuda que el Estado de Guatemala tiene con la USAC, por ejemplo, en el 2014 </w:t>
      </w:r>
      <w:r>
        <w:rPr>
          <w:rFonts w:ascii="Bookman Old Style" w:eastAsia="Bookman Old Style" w:hAnsi="Bookman Old Style" w:cs="Bookman Old Style"/>
          <w:sz w:val="24"/>
          <w:szCs w:val="24"/>
        </w:rPr>
        <w:t>el aporte constitucional fue de Q2.454,8 millones y lo entregado por el MINFIN fue de Q1.335,0 millones, por lo tanto, la Universidad dejó de percibir para dicho año Q1.119,8 millones. Esta misma operación se realiza considerando únicamente el periodo 2014</w:t>
      </w:r>
      <w:r>
        <w:rPr>
          <w:rFonts w:ascii="Bookman Old Style" w:eastAsia="Bookman Old Style" w:hAnsi="Bookman Old Style" w:cs="Bookman Old Style"/>
          <w:sz w:val="24"/>
          <w:szCs w:val="24"/>
        </w:rPr>
        <w:t>-</w:t>
      </w:r>
      <w:r>
        <w:rPr>
          <w:rFonts w:ascii="Bookman Old Style" w:eastAsia="Bookman Old Style" w:hAnsi="Bookman Old Style" w:cs="Bookman Old Style"/>
          <w:sz w:val="24"/>
          <w:szCs w:val="24"/>
        </w:rPr>
        <w:lastRenderedPageBreak/>
        <w:t>2017, lo cual, suma Q3.854,1 millones de deuda acumulada por parte del Estado (Gráfica 1)</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240" w:lineRule="auto"/>
        <w:ind w:left="0" w:hanging="2"/>
        <w:jc w:val="both"/>
        <w:rPr>
          <w:rFonts w:ascii="Bookman Old Style" w:eastAsia="Bookman Old Style" w:hAnsi="Bookman Old Style" w:cs="Bookman Old Style"/>
        </w:rPr>
      </w:pPr>
      <w:r>
        <w:rPr>
          <w:rFonts w:ascii="Bookman Old Style" w:eastAsia="Bookman Old Style" w:hAnsi="Bookman Old Style" w:cs="Bookman Old Style"/>
          <w:b/>
        </w:rPr>
        <w:t>Gráfica 1</w:t>
      </w:r>
    </w:p>
    <w:p w:rsidR="005D5635" w:rsidRDefault="00BF3A61">
      <w:pPr>
        <w:spacing w:after="0" w:line="240" w:lineRule="auto"/>
        <w:ind w:left="0" w:hanging="2"/>
        <w:jc w:val="both"/>
        <w:rPr>
          <w:rFonts w:ascii="Bookman Old Style" w:eastAsia="Bookman Old Style" w:hAnsi="Bookman Old Style" w:cs="Bookman Old Style"/>
        </w:rPr>
      </w:pPr>
      <w:r>
        <w:rPr>
          <w:rFonts w:ascii="Bookman Old Style" w:eastAsia="Bookman Old Style" w:hAnsi="Bookman Old Style" w:cs="Bookman Old Style"/>
        </w:rPr>
        <w:t xml:space="preserve">Presupuesto de la USAC, según aporte constitucional, lo aprobado por el CSU y lo entregado por el MINFIN, 2014-2018, </w:t>
      </w:r>
      <w:r>
        <w:rPr>
          <w:rFonts w:ascii="Bookman Old Style" w:eastAsia="Bookman Old Style" w:hAnsi="Bookman Old Style" w:cs="Bookman Old Style"/>
          <w:i/>
        </w:rPr>
        <w:t>(En millones de quetzales)</w:t>
      </w:r>
    </w:p>
    <w:p w:rsidR="005D5635" w:rsidRDefault="005D5635">
      <w:pPr>
        <w:spacing w:after="0" w:line="240" w:lineRule="auto"/>
        <w:ind w:left="0" w:hanging="2"/>
        <w:jc w:val="both"/>
        <w:rPr>
          <w:rFonts w:ascii="Bookman Old Style" w:eastAsia="Bookman Old Style" w:hAnsi="Bookman Old Style" w:cs="Bookman Old Style"/>
        </w:rPr>
      </w:pPr>
    </w:p>
    <w:p w:rsidR="005D5635" w:rsidRDefault="00BF3A61">
      <w:pPr>
        <w:spacing w:after="0" w:line="240" w:lineRule="auto"/>
        <w:ind w:left="0" w:hanging="2"/>
        <w:jc w:val="both"/>
        <w:rPr>
          <w:rFonts w:ascii="Bookman Old Style" w:eastAsia="Bookman Old Style" w:hAnsi="Bookman Old Style" w:cs="Bookman Old Style"/>
          <w:sz w:val="16"/>
          <w:szCs w:val="16"/>
        </w:rPr>
      </w:pP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5922645" cy="3166110"/>
            <wp:effectExtent l="0" t="0" r="0" b="0"/>
            <wp:wrapNone/>
            <wp:docPr id="103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922645" cy="3166110"/>
                    </a:xfrm>
                    <a:prstGeom prst="rect">
                      <a:avLst/>
                    </a:prstGeom>
                    <a:ln/>
                  </pic:spPr>
                </pic:pic>
              </a:graphicData>
            </a:graphic>
          </wp:anchor>
        </w:drawing>
      </w:r>
    </w:p>
    <w:p w:rsidR="005D5635" w:rsidRDefault="00BF3A61">
      <w:pPr>
        <w:spacing w:after="0" w:line="240" w:lineRule="auto"/>
        <w:jc w:val="both"/>
        <w:rPr>
          <w:rFonts w:ascii="Bookman Old Style" w:eastAsia="Bookman Old Style" w:hAnsi="Bookman Old Style" w:cs="Bookman Old Style"/>
          <w:sz w:val="16"/>
          <w:szCs w:val="16"/>
        </w:rPr>
      </w:pPr>
      <w:r>
        <w:rPr>
          <w:rFonts w:ascii="Bookman Old Style" w:eastAsia="Bookman Old Style" w:hAnsi="Bookman Old Style" w:cs="Bookman Old Style"/>
          <w:i/>
          <w:sz w:val="16"/>
          <w:szCs w:val="16"/>
        </w:rPr>
        <w:t xml:space="preserve"> </w:t>
      </w:r>
    </w:p>
    <w:p w:rsidR="005D5635" w:rsidRDefault="00BF3A61">
      <w:pPr>
        <w:spacing w:after="0" w:line="240" w:lineRule="auto"/>
        <w:jc w:val="both"/>
        <w:rPr>
          <w:rFonts w:ascii="Bookman Old Style" w:eastAsia="Bookman Old Style" w:hAnsi="Bookman Old Style" w:cs="Bookman Old Style"/>
          <w:sz w:val="16"/>
          <w:szCs w:val="16"/>
        </w:rPr>
      </w:pPr>
      <w:r>
        <w:rPr>
          <w:rFonts w:ascii="Bookman Old Style" w:eastAsia="Bookman Old Style" w:hAnsi="Bookman Old Style" w:cs="Bookman Old Style"/>
          <w:i/>
          <w:sz w:val="16"/>
          <w:szCs w:val="16"/>
        </w:rPr>
        <w:t xml:space="preserve">   Fuente: Dirección General Financiera, USAC</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En cuanto al comportamiento de los presupuestos aprobados por el CSU, se puede observar que en todo el periodo 2014-2018 se ha contado con un presupuesto desfinanciado, sin embargo, es en el 2018 donde se acentúa el déficit. Situación preocupante ya que im</w:t>
      </w:r>
      <w:r>
        <w:rPr>
          <w:rFonts w:ascii="Bookman Old Style" w:eastAsia="Bookman Old Style" w:hAnsi="Bookman Old Style" w:cs="Bookman Old Style"/>
          <w:sz w:val="24"/>
          <w:szCs w:val="24"/>
        </w:rPr>
        <w:t>pide el total cumplimiento de las distintas funciones que le corresponden a la USAC como única universidad estatal del país. (Gráfica 2)</w:t>
      </w:r>
    </w:p>
    <w:p w:rsidR="005D5635" w:rsidRDefault="005D5635">
      <w:pPr>
        <w:spacing w:after="0" w:line="240" w:lineRule="auto"/>
        <w:ind w:left="0" w:hanging="2"/>
        <w:jc w:val="both"/>
        <w:rPr>
          <w:rFonts w:ascii="Bookman Old Style" w:eastAsia="Bookman Old Style" w:hAnsi="Bookman Old Style" w:cs="Bookman Old Style"/>
          <w:sz w:val="24"/>
          <w:szCs w:val="24"/>
        </w:rPr>
      </w:pPr>
    </w:p>
    <w:p w:rsidR="005D5635" w:rsidRDefault="005D5635">
      <w:pPr>
        <w:spacing w:after="0" w:line="240" w:lineRule="auto"/>
        <w:ind w:left="0" w:hanging="2"/>
        <w:jc w:val="both"/>
        <w:rPr>
          <w:rFonts w:ascii="Bookman Old Style" w:eastAsia="Bookman Old Style" w:hAnsi="Bookman Old Style" w:cs="Bookman Old Style"/>
          <w:sz w:val="24"/>
          <w:szCs w:val="24"/>
        </w:rPr>
      </w:pPr>
    </w:p>
    <w:p w:rsidR="005D5635" w:rsidRDefault="005D5635">
      <w:pPr>
        <w:spacing w:after="0" w:line="240" w:lineRule="auto"/>
        <w:ind w:left="0" w:hanging="2"/>
        <w:jc w:val="both"/>
        <w:rPr>
          <w:rFonts w:ascii="Bookman Old Style" w:eastAsia="Bookman Old Style" w:hAnsi="Bookman Old Style" w:cs="Bookman Old Style"/>
          <w:sz w:val="24"/>
          <w:szCs w:val="24"/>
        </w:rPr>
      </w:pPr>
    </w:p>
    <w:p w:rsidR="005D5635" w:rsidRDefault="005D5635">
      <w:pPr>
        <w:spacing w:after="0" w:line="240" w:lineRule="auto"/>
        <w:ind w:left="0" w:hanging="2"/>
        <w:jc w:val="both"/>
        <w:rPr>
          <w:rFonts w:ascii="Bookman Old Style" w:eastAsia="Bookman Old Style" w:hAnsi="Bookman Old Style" w:cs="Bookman Old Style"/>
        </w:rPr>
      </w:pPr>
    </w:p>
    <w:p w:rsidR="005D5635" w:rsidRDefault="00BF3A61">
      <w:pPr>
        <w:spacing w:after="0" w:line="240" w:lineRule="auto"/>
        <w:ind w:left="0" w:hanging="2"/>
        <w:jc w:val="both"/>
        <w:rPr>
          <w:rFonts w:ascii="Bookman Old Style" w:eastAsia="Bookman Old Style" w:hAnsi="Bookman Old Style" w:cs="Bookman Old Style"/>
        </w:rPr>
      </w:pPr>
      <w:r>
        <w:rPr>
          <w:rFonts w:ascii="Bookman Old Style" w:eastAsia="Bookman Old Style" w:hAnsi="Bookman Old Style" w:cs="Bookman Old Style"/>
          <w:b/>
        </w:rPr>
        <w:t>Gráfica 2</w:t>
      </w:r>
    </w:p>
    <w:p w:rsidR="005D5635" w:rsidRDefault="00BF3A61">
      <w:pPr>
        <w:spacing w:after="0" w:line="240" w:lineRule="auto"/>
        <w:ind w:left="0" w:hanging="2"/>
        <w:jc w:val="both"/>
        <w:rPr>
          <w:rFonts w:ascii="Bookman Old Style" w:eastAsia="Bookman Old Style" w:hAnsi="Bookman Old Style" w:cs="Bookman Old Style"/>
          <w:vertAlign w:val="superscript"/>
        </w:rPr>
      </w:pPr>
      <w:r>
        <w:rPr>
          <w:rFonts w:ascii="Bookman Old Style" w:eastAsia="Bookman Old Style" w:hAnsi="Bookman Old Style" w:cs="Bookman Old Style"/>
        </w:rPr>
        <w:t>Presupuesto aprobado por el CSU** y lo entregado por el MINFIN, 2014-2018</w:t>
      </w:r>
    </w:p>
    <w:p w:rsidR="005D5635" w:rsidRDefault="00BF3A61">
      <w:pPr>
        <w:spacing w:after="0" w:line="240" w:lineRule="auto"/>
        <w:ind w:left="0" w:hanging="2"/>
        <w:jc w:val="both"/>
        <w:rPr>
          <w:rFonts w:ascii="Bookman Old Style" w:eastAsia="Bookman Old Style" w:hAnsi="Bookman Old Style" w:cs="Bookman Old Style"/>
        </w:rPr>
      </w:pPr>
      <w:r>
        <w:rPr>
          <w:rFonts w:ascii="Bookman Old Style" w:eastAsia="Bookman Old Style" w:hAnsi="Bookman Old Style" w:cs="Bookman Old Style"/>
          <w:i/>
        </w:rPr>
        <w:t>(En millones de quetzales)</w:t>
      </w:r>
    </w:p>
    <w:p w:rsidR="005D5635" w:rsidRDefault="00BF3A61">
      <w:pPr>
        <w:spacing w:after="0"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b/>
          <w:noProof/>
          <w:sz w:val="20"/>
          <w:szCs w:val="20"/>
        </w:rPr>
        <w:lastRenderedPageBreak/>
        <w:drawing>
          <wp:inline distT="0" distB="0" distL="114300" distR="114300">
            <wp:extent cx="5834380" cy="3435350"/>
            <wp:effectExtent l="0" t="0" r="0" b="0"/>
            <wp:docPr id="10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834380" cy="3435350"/>
                    </a:xfrm>
                    <a:prstGeom prst="rect">
                      <a:avLst/>
                    </a:prstGeom>
                    <a:ln/>
                  </pic:spPr>
                </pic:pic>
              </a:graphicData>
            </a:graphic>
          </wp:inline>
        </w:drawing>
      </w:r>
    </w:p>
    <w:p w:rsidR="005D5635" w:rsidRDefault="005D5635">
      <w:pPr>
        <w:spacing w:after="0" w:line="240" w:lineRule="auto"/>
        <w:jc w:val="both"/>
        <w:rPr>
          <w:rFonts w:ascii="Bookman Old Style" w:eastAsia="Bookman Old Style" w:hAnsi="Bookman Old Style" w:cs="Bookman Old Style"/>
          <w:sz w:val="16"/>
          <w:szCs w:val="16"/>
        </w:rPr>
      </w:pPr>
    </w:p>
    <w:p w:rsidR="005D5635" w:rsidRDefault="00BF3A61">
      <w:pPr>
        <w:spacing w:after="0" w:line="240" w:lineRule="auto"/>
        <w:jc w:val="both"/>
        <w:rPr>
          <w:rFonts w:ascii="Bookman Old Style" w:eastAsia="Bookman Old Style" w:hAnsi="Bookman Old Style" w:cs="Bookman Old Style"/>
          <w:sz w:val="16"/>
          <w:szCs w:val="16"/>
        </w:rPr>
      </w:pPr>
      <w:r>
        <w:rPr>
          <w:rFonts w:ascii="Bookman Old Style" w:eastAsia="Bookman Old Style" w:hAnsi="Bookman Old Style" w:cs="Bookman Old Style"/>
          <w:i/>
          <w:sz w:val="16"/>
          <w:szCs w:val="16"/>
        </w:rPr>
        <w:t xml:space="preserve"> </w:t>
      </w:r>
      <w:r>
        <w:rPr>
          <w:rFonts w:ascii="Bookman Old Style" w:eastAsia="Bookman Old Style" w:hAnsi="Bookman Old Style" w:cs="Bookman Old Style"/>
          <w:i/>
          <w:sz w:val="16"/>
          <w:szCs w:val="16"/>
        </w:rPr>
        <w:t xml:space="preserve">   Fuente: Dirección General Financiera, USAC</w:t>
      </w:r>
    </w:p>
    <w:p w:rsidR="005D5635" w:rsidRDefault="00BF3A61">
      <w:pPr>
        <w:spacing w:after="0" w:line="240" w:lineRule="auto"/>
        <w:jc w:val="both"/>
        <w:rPr>
          <w:rFonts w:ascii="Bookman Old Style" w:eastAsia="Bookman Old Style" w:hAnsi="Bookman Old Style" w:cs="Bookman Old Style"/>
          <w:sz w:val="16"/>
          <w:szCs w:val="16"/>
        </w:rPr>
      </w:pPr>
      <w:r>
        <w:rPr>
          <w:rFonts w:ascii="Bookman Old Style" w:eastAsia="Bookman Old Style" w:hAnsi="Bookman Old Style" w:cs="Bookman Old Style"/>
          <w:i/>
          <w:sz w:val="16"/>
          <w:szCs w:val="16"/>
        </w:rPr>
        <w:t xml:space="preserve">   * Cifras estimadas al 31 de diciembre de 2018</w:t>
      </w:r>
    </w:p>
    <w:p w:rsidR="005D5635" w:rsidRDefault="00BF3A61">
      <w:pPr>
        <w:spacing w:after="0" w:line="240" w:lineRule="auto"/>
        <w:jc w:val="both"/>
        <w:rPr>
          <w:rFonts w:ascii="Bookman Old Style" w:eastAsia="Bookman Old Style" w:hAnsi="Bookman Old Style" w:cs="Bookman Old Style"/>
          <w:sz w:val="16"/>
          <w:szCs w:val="16"/>
        </w:rPr>
      </w:pPr>
      <w:r>
        <w:rPr>
          <w:rFonts w:ascii="Bookman Old Style" w:eastAsia="Bookman Old Style" w:hAnsi="Bookman Old Style" w:cs="Bookman Old Style"/>
          <w:i/>
          <w:sz w:val="16"/>
          <w:szCs w:val="16"/>
        </w:rPr>
        <w:t xml:space="preserve">   ** Incluye aporte ordinario, extraordinario y fondos propios de la Universidad</w:t>
      </w:r>
    </w:p>
    <w:p w:rsidR="005D5635" w:rsidRDefault="005D5635">
      <w:pPr>
        <w:spacing w:after="0" w:line="240" w:lineRule="auto"/>
        <w:jc w:val="both"/>
        <w:rPr>
          <w:rFonts w:ascii="Bookman Old Style" w:eastAsia="Bookman Old Style" w:hAnsi="Bookman Old Style" w:cs="Bookman Old Style"/>
          <w:sz w:val="16"/>
          <w:szCs w:val="16"/>
        </w:rPr>
      </w:pP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Es importante resaltar que existen diferencias entre los presupuestos program</w:t>
      </w:r>
      <w:r>
        <w:rPr>
          <w:rFonts w:ascii="Bookman Old Style" w:eastAsia="Bookman Old Style" w:hAnsi="Bookman Old Style" w:cs="Bookman Old Style"/>
          <w:sz w:val="24"/>
          <w:szCs w:val="24"/>
        </w:rPr>
        <w:t>ados, aprobados y entregados, por lo tanto, el déficit presupuestario varía en relación al presupuesto aprobado por el CSU, así como para el presupuesto programado y entregado a la Universidad por el MINFIN.          (Tabla 1)</w:t>
      </w:r>
    </w:p>
    <w:p w:rsidR="005D5635" w:rsidRDefault="005D5635">
      <w:pPr>
        <w:spacing w:after="0" w:line="240" w:lineRule="auto"/>
        <w:ind w:left="0" w:hanging="2"/>
        <w:jc w:val="both"/>
        <w:rPr>
          <w:rFonts w:ascii="Bookman Old Style" w:eastAsia="Bookman Old Style" w:hAnsi="Bookman Old Style" w:cs="Bookman Old Style"/>
        </w:rPr>
      </w:pPr>
    </w:p>
    <w:p w:rsidR="005D5635" w:rsidRDefault="005D5635">
      <w:pPr>
        <w:spacing w:after="0" w:line="240" w:lineRule="auto"/>
        <w:ind w:left="0" w:hanging="2"/>
        <w:jc w:val="both"/>
        <w:rPr>
          <w:rFonts w:ascii="Bookman Old Style" w:eastAsia="Bookman Old Style" w:hAnsi="Bookman Old Style" w:cs="Bookman Old Style"/>
        </w:rPr>
      </w:pPr>
    </w:p>
    <w:p w:rsidR="005D5635" w:rsidRDefault="005D5635">
      <w:pPr>
        <w:spacing w:after="0" w:line="240" w:lineRule="auto"/>
        <w:ind w:left="0" w:hanging="2"/>
        <w:jc w:val="both"/>
        <w:rPr>
          <w:rFonts w:ascii="Bookman Old Style" w:eastAsia="Bookman Old Style" w:hAnsi="Bookman Old Style" w:cs="Bookman Old Style"/>
        </w:rPr>
      </w:pPr>
    </w:p>
    <w:p w:rsidR="005D5635" w:rsidRDefault="005D5635">
      <w:pPr>
        <w:spacing w:after="0" w:line="240" w:lineRule="auto"/>
        <w:ind w:left="0" w:hanging="2"/>
        <w:jc w:val="both"/>
        <w:rPr>
          <w:rFonts w:ascii="Bookman Old Style" w:eastAsia="Bookman Old Style" w:hAnsi="Bookman Old Style" w:cs="Bookman Old Style"/>
        </w:rPr>
      </w:pPr>
    </w:p>
    <w:p w:rsidR="005D5635" w:rsidRDefault="005D5635">
      <w:pPr>
        <w:spacing w:after="0" w:line="240" w:lineRule="auto"/>
        <w:ind w:left="0" w:hanging="2"/>
        <w:jc w:val="both"/>
        <w:rPr>
          <w:rFonts w:ascii="Bookman Old Style" w:eastAsia="Bookman Old Style" w:hAnsi="Bookman Old Style" w:cs="Bookman Old Style"/>
        </w:rPr>
      </w:pPr>
    </w:p>
    <w:p w:rsidR="005D5635" w:rsidRDefault="005D5635">
      <w:pPr>
        <w:spacing w:after="0" w:line="240" w:lineRule="auto"/>
        <w:ind w:left="0" w:hanging="2"/>
        <w:jc w:val="both"/>
        <w:rPr>
          <w:rFonts w:ascii="Bookman Old Style" w:eastAsia="Bookman Old Style" w:hAnsi="Bookman Old Style" w:cs="Bookman Old Style"/>
        </w:rPr>
      </w:pPr>
    </w:p>
    <w:p w:rsidR="005D5635" w:rsidRDefault="005D5635">
      <w:pPr>
        <w:spacing w:after="0" w:line="240" w:lineRule="auto"/>
        <w:ind w:left="0" w:hanging="2"/>
        <w:jc w:val="both"/>
        <w:rPr>
          <w:rFonts w:ascii="Bookman Old Style" w:eastAsia="Bookman Old Style" w:hAnsi="Bookman Old Style" w:cs="Bookman Old Style"/>
        </w:rPr>
      </w:pPr>
    </w:p>
    <w:p w:rsidR="005D5635" w:rsidRDefault="005D5635">
      <w:pPr>
        <w:spacing w:after="0" w:line="240" w:lineRule="auto"/>
        <w:ind w:left="0" w:hanging="2"/>
        <w:jc w:val="both"/>
        <w:rPr>
          <w:rFonts w:ascii="Bookman Old Style" w:eastAsia="Bookman Old Style" w:hAnsi="Bookman Old Style" w:cs="Bookman Old Style"/>
        </w:rPr>
      </w:pPr>
    </w:p>
    <w:p w:rsidR="005D5635" w:rsidRDefault="005D5635">
      <w:pPr>
        <w:spacing w:after="0" w:line="240" w:lineRule="auto"/>
        <w:ind w:left="0" w:hanging="2"/>
        <w:jc w:val="both"/>
        <w:rPr>
          <w:rFonts w:ascii="Bookman Old Style" w:eastAsia="Bookman Old Style" w:hAnsi="Bookman Old Style" w:cs="Bookman Old Style"/>
        </w:rPr>
      </w:pPr>
    </w:p>
    <w:p w:rsidR="005D5635" w:rsidRDefault="005D5635">
      <w:pPr>
        <w:spacing w:after="0" w:line="240" w:lineRule="auto"/>
        <w:ind w:left="0" w:hanging="2"/>
        <w:jc w:val="both"/>
        <w:rPr>
          <w:rFonts w:ascii="Bookman Old Style" w:eastAsia="Bookman Old Style" w:hAnsi="Bookman Old Style" w:cs="Bookman Old Style"/>
        </w:rPr>
      </w:pPr>
    </w:p>
    <w:p w:rsidR="005D5635" w:rsidRDefault="005D5635">
      <w:pPr>
        <w:spacing w:after="0" w:line="240" w:lineRule="auto"/>
        <w:ind w:left="0" w:hanging="2"/>
        <w:jc w:val="both"/>
        <w:rPr>
          <w:rFonts w:ascii="Bookman Old Style" w:eastAsia="Bookman Old Style" w:hAnsi="Bookman Old Style" w:cs="Bookman Old Style"/>
        </w:rPr>
      </w:pPr>
    </w:p>
    <w:p w:rsidR="005D5635" w:rsidRDefault="005D5635">
      <w:pPr>
        <w:spacing w:after="0" w:line="240" w:lineRule="auto"/>
        <w:ind w:left="0" w:hanging="2"/>
        <w:jc w:val="both"/>
        <w:rPr>
          <w:rFonts w:ascii="Bookman Old Style" w:eastAsia="Bookman Old Style" w:hAnsi="Bookman Old Style" w:cs="Bookman Old Style"/>
        </w:rPr>
      </w:pPr>
    </w:p>
    <w:p w:rsidR="005D5635" w:rsidRDefault="00BF3A61">
      <w:pPr>
        <w:spacing w:after="0" w:line="240" w:lineRule="auto"/>
        <w:ind w:left="0" w:hanging="2"/>
        <w:jc w:val="both"/>
        <w:rPr>
          <w:rFonts w:ascii="Bookman Old Style" w:eastAsia="Bookman Old Style" w:hAnsi="Bookman Old Style" w:cs="Bookman Old Style"/>
        </w:rPr>
      </w:pPr>
      <w:r>
        <w:rPr>
          <w:rFonts w:ascii="Bookman Old Style" w:eastAsia="Bookman Old Style" w:hAnsi="Bookman Old Style" w:cs="Bookman Old Style"/>
          <w:b/>
        </w:rPr>
        <w:t>Tabla 1</w:t>
      </w:r>
    </w:p>
    <w:p w:rsidR="005D5635" w:rsidRDefault="00BF3A61">
      <w:pPr>
        <w:spacing w:after="0" w:line="240" w:lineRule="auto"/>
        <w:ind w:left="0" w:hanging="2"/>
        <w:jc w:val="both"/>
        <w:rPr>
          <w:rFonts w:ascii="Bookman Old Style" w:eastAsia="Bookman Old Style" w:hAnsi="Bookman Old Style" w:cs="Bookman Old Style"/>
        </w:rPr>
      </w:pPr>
      <w:r>
        <w:rPr>
          <w:rFonts w:ascii="Bookman Old Style" w:eastAsia="Bookman Old Style" w:hAnsi="Bookman Old Style" w:cs="Bookman Old Style"/>
        </w:rPr>
        <w:t xml:space="preserve">Presupuestos aprobados por el CSU**, programados y entregados por el MINFIN, periodo 2014-2018, </w:t>
      </w:r>
      <w:r>
        <w:rPr>
          <w:rFonts w:ascii="Bookman Old Style" w:eastAsia="Bookman Old Style" w:hAnsi="Bookman Old Style" w:cs="Bookman Old Style"/>
          <w:i/>
        </w:rPr>
        <w:t>(En millones de quetzales)</w:t>
      </w:r>
    </w:p>
    <w:p w:rsidR="005D5635" w:rsidRDefault="005D5635">
      <w:pPr>
        <w:spacing w:after="0" w:line="240" w:lineRule="auto"/>
        <w:ind w:left="0" w:hanging="2"/>
        <w:jc w:val="both"/>
        <w:rPr>
          <w:rFonts w:ascii="Bookman Old Style" w:eastAsia="Bookman Old Style" w:hAnsi="Bookman Old Style" w:cs="Bookman Old Style"/>
        </w:rPr>
      </w:pPr>
    </w:p>
    <w:tbl>
      <w:tblPr>
        <w:tblStyle w:val="a"/>
        <w:tblW w:w="9064" w:type="dxa"/>
        <w:jc w:val="center"/>
        <w:tblInd w:w="0" w:type="dxa"/>
        <w:tblLayout w:type="fixed"/>
        <w:tblLook w:val="0000" w:firstRow="0" w:lastRow="0" w:firstColumn="0" w:lastColumn="0" w:noHBand="0" w:noVBand="0"/>
      </w:tblPr>
      <w:tblGrid>
        <w:gridCol w:w="1276"/>
        <w:gridCol w:w="3087"/>
        <w:gridCol w:w="2430"/>
        <w:gridCol w:w="2271"/>
      </w:tblGrid>
      <w:tr w:rsidR="005D5635">
        <w:trPr>
          <w:trHeight w:val="440"/>
          <w:jc w:val="center"/>
        </w:trPr>
        <w:tc>
          <w:tcPr>
            <w:tcW w:w="1276" w:type="dxa"/>
            <w:tcBorders>
              <w:top w:val="nil"/>
              <w:left w:val="nil"/>
              <w:bottom w:val="single" w:sz="6" w:space="0" w:color="000000"/>
              <w:right w:val="nil"/>
            </w:tcBorders>
            <w:shd w:val="clear" w:color="auto" w:fill="B8CCE4"/>
            <w:vAlign w:val="center"/>
          </w:tcPr>
          <w:p w:rsidR="005D5635" w:rsidRDefault="00BF3A61">
            <w:pPr>
              <w:spacing w:after="0" w:line="240" w:lineRule="auto"/>
              <w:ind w:left="0" w:hanging="2"/>
              <w:jc w:val="center"/>
              <w:rPr>
                <w:rFonts w:ascii="Bookman Old Style" w:eastAsia="Bookman Old Style" w:hAnsi="Bookman Old Style" w:cs="Bookman Old Style"/>
                <w:color w:val="000000"/>
              </w:rPr>
            </w:pPr>
            <w:r>
              <w:rPr>
                <w:rFonts w:ascii="Bookman Old Style" w:eastAsia="Bookman Old Style" w:hAnsi="Bookman Old Style" w:cs="Bookman Old Style"/>
                <w:b/>
                <w:color w:val="000000"/>
              </w:rPr>
              <w:lastRenderedPageBreak/>
              <w:t>Año</w:t>
            </w:r>
          </w:p>
        </w:tc>
        <w:tc>
          <w:tcPr>
            <w:tcW w:w="3087" w:type="dxa"/>
            <w:tcBorders>
              <w:top w:val="nil"/>
              <w:left w:val="nil"/>
              <w:bottom w:val="single" w:sz="6" w:space="0" w:color="000000"/>
              <w:right w:val="nil"/>
            </w:tcBorders>
            <w:shd w:val="clear" w:color="auto" w:fill="B8CCE4"/>
            <w:vAlign w:val="center"/>
          </w:tcPr>
          <w:p w:rsidR="005D5635" w:rsidRDefault="00BF3A61">
            <w:pPr>
              <w:spacing w:after="0" w:line="240" w:lineRule="auto"/>
              <w:ind w:left="0" w:hanging="2"/>
              <w:jc w:val="center"/>
              <w:rPr>
                <w:rFonts w:ascii="Bookman Old Style" w:eastAsia="Bookman Old Style" w:hAnsi="Bookman Old Style" w:cs="Bookman Old Style"/>
              </w:rPr>
            </w:pPr>
            <w:r>
              <w:rPr>
                <w:rFonts w:ascii="Bookman Old Style" w:eastAsia="Bookman Old Style" w:hAnsi="Bookman Old Style" w:cs="Bookman Old Style"/>
                <w:b/>
              </w:rPr>
              <w:t>Aprobado CSU</w:t>
            </w:r>
          </w:p>
        </w:tc>
        <w:tc>
          <w:tcPr>
            <w:tcW w:w="2430" w:type="dxa"/>
            <w:tcBorders>
              <w:top w:val="nil"/>
              <w:left w:val="nil"/>
              <w:bottom w:val="single" w:sz="6" w:space="0" w:color="000000"/>
              <w:right w:val="nil"/>
            </w:tcBorders>
            <w:shd w:val="clear" w:color="auto" w:fill="B8CCE4"/>
            <w:vAlign w:val="center"/>
          </w:tcPr>
          <w:p w:rsidR="005D5635" w:rsidRDefault="00BF3A61">
            <w:pPr>
              <w:spacing w:after="0" w:line="240" w:lineRule="auto"/>
              <w:ind w:left="0" w:hanging="2"/>
              <w:jc w:val="center"/>
              <w:rPr>
                <w:rFonts w:ascii="Bookman Old Style" w:eastAsia="Bookman Old Style" w:hAnsi="Bookman Old Style" w:cs="Bookman Old Style"/>
              </w:rPr>
            </w:pPr>
            <w:r>
              <w:rPr>
                <w:rFonts w:ascii="Bookman Old Style" w:eastAsia="Bookman Old Style" w:hAnsi="Bookman Old Style" w:cs="Bookman Old Style"/>
                <w:b/>
              </w:rPr>
              <w:t>Programado MINFIN</w:t>
            </w:r>
          </w:p>
        </w:tc>
        <w:tc>
          <w:tcPr>
            <w:tcW w:w="2271" w:type="dxa"/>
            <w:tcBorders>
              <w:top w:val="nil"/>
              <w:left w:val="nil"/>
              <w:bottom w:val="single" w:sz="6" w:space="0" w:color="000000"/>
              <w:right w:val="nil"/>
            </w:tcBorders>
            <w:shd w:val="clear" w:color="auto" w:fill="B8CCE4"/>
          </w:tcPr>
          <w:p w:rsidR="005D5635" w:rsidRDefault="00BF3A61">
            <w:pPr>
              <w:spacing w:after="0" w:line="240" w:lineRule="auto"/>
              <w:ind w:left="0" w:hanging="2"/>
              <w:jc w:val="center"/>
              <w:rPr>
                <w:rFonts w:ascii="Bookman Old Style" w:eastAsia="Bookman Old Style" w:hAnsi="Bookman Old Style" w:cs="Bookman Old Style"/>
              </w:rPr>
            </w:pPr>
            <w:r>
              <w:rPr>
                <w:rFonts w:ascii="Bookman Old Style" w:eastAsia="Bookman Old Style" w:hAnsi="Bookman Old Style" w:cs="Bookman Old Style"/>
                <w:b/>
              </w:rPr>
              <w:t xml:space="preserve">  Entregado MINFIN</w:t>
            </w:r>
          </w:p>
        </w:tc>
      </w:tr>
      <w:tr w:rsidR="005D5635">
        <w:trPr>
          <w:trHeight w:val="440"/>
          <w:jc w:val="center"/>
        </w:trPr>
        <w:tc>
          <w:tcPr>
            <w:tcW w:w="1276" w:type="dxa"/>
            <w:tcBorders>
              <w:top w:val="nil"/>
              <w:left w:val="nil"/>
              <w:bottom w:val="nil"/>
              <w:right w:val="nil"/>
            </w:tcBorders>
            <w:shd w:val="clear" w:color="auto" w:fill="DCE6F1"/>
            <w:vAlign w:val="center"/>
          </w:tcPr>
          <w:p w:rsidR="005D5635" w:rsidRDefault="00BF3A61">
            <w:pPr>
              <w:spacing w:after="0" w:line="240" w:lineRule="auto"/>
              <w:ind w:left="0" w:hanging="2"/>
              <w:jc w:val="center"/>
              <w:rPr>
                <w:rFonts w:ascii="Bookman Old Style" w:eastAsia="Bookman Old Style" w:hAnsi="Bookman Old Style" w:cs="Bookman Old Style"/>
              </w:rPr>
            </w:pPr>
            <w:r>
              <w:rPr>
                <w:rFonts w:ascii="Bookman Old Style" w:eastAsia="Bookman Old Style" w:hAnsi="Bookman Old Style" w:cs="Bookman Old Style"/>
              </w:rPr>
              <w:t>2014</w:t>
            </w:r>
          </w:p>
        </w:tc>
        <w:tc>
          <w:tcPr>
            <w:tcW w:w="3087" w:type="dxa"/>
            <w:tcBorders>
              <w:top w:val="nil"/>
              <w:left w:val="nil"/>
              <w:bottom w:val="nil"/>
              <w:right w:val="nil"/>
            </w:tcBorders>
            <w:shd w:val="clear" w:color="auto" w:fill="DCE6F1"/>
            <w:vAlign w:val="center"/>
          </w:tcPr>
          <w:p w:rsidR="005D5635" w:rsidRDefault="00BF3A61">
            <w:pPr>
              <w:spacing w:after="0" w:line="240" w:lineRule="auto"/>
              <w:ind w:left="0" w:hanging="2"/>
              <w:jc w:val="center"/>
              <w:rPr>
                <w:rFonts w:ascii="Bookman Old Style" w:eastAsia="Bookman Old Style" w:hAnsi="Bookman Old Style" w:cs="Bookman Old Style"/>
              </w:rPr>
            </w:pPr>
            <w:r>
              <w:rPr>
                <w:rFonts w:ascii="Bookman Old Style" w:eastAsia="Bookman Old Style" w:hAnsi="Bookman Old Style" w:cs="Bookman Old Style"/>
              </w:rPr>
              <w:t>1.665,7</w:t>
            </w:r>
          </w:p>
        </w:tc>
        <w:tc>
          <w:tcPr>
            <w:tcW w:w="2430" w:type="dxa"/>
            <w:tcBorders>
              <w:top w:val="nil"/>
              <w:left w:val="nil"/>
              <w:bottom w:val="nil"/>
              <w:right w:val="nil"/>
            </w:tcBorders>
            <w:shd w:val="clear" w:color="auto" w:fill="DCE6F1"/>
            <w:vAlign w:val="center"/>
          </w:tcPr>
          <w:p w:rsidR="005D5635" w:rsidRDefault="00BF3A61">
            <w:pPr>
              <w:spacing w:after="0" w:line="240" w:lineRule="auto"/>
              <w:ind w:left="0" w:hanging="2"/>
              <w:jc w:val="center"/>
              <w:rPr>
                <w:rFonts w:ascii="Bookman Old Style" w:eastAsia="Bookman Old Style" w:hAnsi="Bookman Old Style" w:cs="Bookman Old Style"/>
              </w:rPr>
            </w:pPr>
            <w:r>
              <w:rPr>
                <w:rFonts w:ascii="Bookman Old Style" w:eastAsia="Bookman Old Style" w:hAnsi="Bookman Old Style" w:cs="Bookman Old Style"/>
              </w:rPr>
              <w:t>1.500,0</w:t>
            </w:r>
          </w:p>
        </w:tc>
        <w:tc>
          <w:tcPr>
            <w:tcW w:w="2271" w:type="dxa"/>
            <w:tcBorders>
              <w:top w:val="nil"/>
              <w:left w:val="nil"/>
              <w:bottom w:val="nil"/>
              <w:right w:val="nil"/>
            </w:tcBorders>
            <w:shd w:val="clear" w:color="auto" w:fill="DCE6F1"/>
            <w:vAlign w:val="center"/>
          </w:tcPr>
          <w:p w:rsidR="005D5635" w:rsidRDefault="00BF3A61">
            <w:pPr>
              <w:spacing w:after="0" w:line="240" w:lineRule="auto"/>
              <w:ind w:left="0" w:hanging="2"/>
              <w:jc w:val="center"/>
              <w:rPr>
                <w:rFonts w:ascii="Bookman Old Style" w:eastAsia="Bookman Old Style" w:hAnsi="Bookman Old Style" w:cs="Bookman Old Style"/>
              </w:rPr>
            </w:pPr>
            <w:r>
              <w:rPr>
                <w:rFonts w:ascii="Bookman Old Style" w:eastAsia="Bookman Old Style" w:hAnsi="Bookman Old Style" w:cs="Bookman Old Style"/>
              </w:rPr>
              <w:t>1.335,0</w:t>
            </w:r>
          </w:p>
        </w:tc>
      </w:tr>
      <w:tr w:rsidR="005D5635">
        <w:trPr>
          <w:trHeight w:val="420"/>
          <w:jc w:val="center"/>
        </w:trPr>
        <w:tc>
          <w:tcPr>
            <w:tcW w:w="1276" w:type="dxa"/>
            <w:tcBorders>
              <w:top w:val="nil"/>
              <w:left w:val="nil"/>
              <w:bottom w:val="nil"/>
              <w:right w:val="nil"/>
            </w:tcBorders>
            <w:shd w:val="clear" w:color="auto" w:fill="DCE6F1"/>
            <w:vAlign w:val="center"/>
          </w:tcPr>
          <w:p w:rsidR="005D5635" w:rsidRDefault="00BF3A61">
            <w:pPr>
              <w:spacing w:after="0" w:line="240" w:lineRule="auto"/>
              <w:ind w:left="0" w:hanging="2"/>
              <w:jc w:val="center"/>
              <w:rPr>
                <w:rFonts w:ascii="Bookman Old Style" w:eastAsia="Bookman Old Style" w:hAnsi="Bookman Old Style" w:cs="Bookman Old Style"/>
              </w:rPr>
            </w:pPr>
            <w:r>
              <w:rPr>
                <w:rFonts w:ascii="Bookman Old Style" w:eastAsia="Bookman Old Style" w:hAnsi="Bookman Old Style" w:cs="Bookman Old Style"/>
              </w:rPr>
              <w:t>2015</w:t>
            </w:r>
          </w:p>
        </w:tc>
        <w:tc>
          <w:tcPr>
            <w:tcW w:w="3087" w:type="dxa"/>
            <w:tcBorders>
              <w:top w:val="nil"/>
              <w:left w:val="nil"/>
              <w:bottom w:val="nil"/>
              <w:right w:val="nil"/>
            </w:tcBorders>
            <w:shd w:val="clear" w:color="auto" w:fill="DCE6F1"/>
            <w:vAlign w:val="center"/>
          </w:tcPr>
          <w:p w:rsidR="005D5635" w:rsidRDefault="00BF3A61">
            <w:pPr>
              <w:spacing w:after="0" w:line="240" w:lineRule="auto"/>
              <w:ind w:left="0" w:hanging="2"/>
              <w:jc w:val="center"/>
              <w:rPr>
                <w:rFonts w:ascii="Bookman Old Style" w:eastAsia="Bookman Old Style" w:hAnsi="Bookman Old Style" w:cs="Bookman Old Style"/>
              </w:rPr>
            </w:pPr>
            <w:r>
              <w:rPr>
                <w:rFonts w:ascii="Bookman Old Style" w:eastAsia="Bookman Old Style" w:hAnsi="Bookman Old Style" w:cs="Bookman Old Style"/>
              </w:rPr>
              <w:t>1.919,8</w:t>
            </w:r>
          </w:p>
        </w:tc>
        <w:tc>
          <w:tcPr>
            <w:tcW w:w="2430" w:type="dxa"/>
            <w:tcBorders>
              <w:top w:val="nil"/>
              <w:left w:val="nil"/>
              <w:bottom w:val="nil"/>
              <w:right w:val="nil"/>
            </w:tcBorders>
            <w:shd w:val="clear" w:color="auto" w:fill="DCE6F1"/>
            <w:vAlign w:val="center"/>
          </w:tcPr>
          <w:p w:rsidR="005D5635" w:rsidRDefault="00BF3A61">
            <w:pPr>
              <w:spacing w:after="0" w:line="240" w:lineRule="auto"/>
              <w:ind w:left="0" w:hanging="2"/>
              <w:jc w:val="center"/>
              <w:rPr>
                <w:rFonts w:ascii="Bookman Old Style" w:eastAsia="Bookman Old Style" w:hAnsi="Bookman Old Style" w:cs="Bookman Old Style"/>
              </w:rPr>
            </w:pPr>
            <w:r>
              <w:rPr>
                <w:rFonts w:ascii="Bookman Old Style" w:eastAsia="Bookman Old Style" w:hAnsi="Bookman Old Style" w:cs="Bookman Old Style"/>
              </w:rPr>
              <w:t>1.874,5</w:t>
            </w:r>
          </w:p>
        </w:tc>
        <w:tc>
          <w:tcPr>
            <w:tcW w:w="2271" w:type="dxa"/>
            <w:tcBorders>
              <w:top w:val="nil"/>
              <w:left w:val="nil"/>
              <w:bottom w:val="nil"/>
              <w:right w:val="nil"/>
            </w:tcBorders>
            <w:shd w:val="clear" w:color="auto" w:fill="DCE6F1"/>
            <w:vAlign w:val="center"/>
          </w:tcPr>
          <w:p w:rsidR="005D5635" w:rsidRDefault="00BF3A61">
            <w:pPr>
              <w:spacing w:after="0" w:line="240" w:lineRule="auto"/>
              <w:ind w:left="0" w:hanging="2"/>
              <w:jc w:val="center"/>
              <w:rPr>
                <w:rFonts w:ascii="Bookman Old Style" w:eastAsia="Bookman Old Style" w:hAnsi="Bookman Old Style" w:cs="Bookman Old Style"/>
              </w:rPr>
            </w:pPr>
            <w:r>
              <w:rPr>
                <w:rFonts w:ascii="Bookman Old Style" w:eastAsia="Bookman Old Style" w:hAnsi="Bookman Old Style" w:cs="Bookman Old Style"/>
              </w:rPr>
              <w:t>1.641,3</w:t>
            </w:r>
          </w:p>
        </w:tc>
      </w:tr>
      <w:tr w:rsidR="005D5635">
        <w:trPr>
          <w:trHeight w:val="420"/>
          <w:jc w:val="center"/>
        </w:trPr>
        <w:tc>
          <w:tcPr>
            <w:tcW w:w="1276" w:type="dxa"/>
            <w:tcBorders>
              <w:top w:val="nil"/>
              <w:left w:val="nil"/>
              <w:bottom w:val="nil"/>
              <w:right w:val="nil"/>
            </w:tcBorders>
            <w:shd w:val="clear" w:color="auto" w:fill="DCE6F1"/>
            <w:vAlign w:val="center"/>
          </w:tcPr>
          <w:p w:rsidR="005D5635" w:rsidRDefault="00BF3A61">
            <w:pPr>
              <w:spacing w:after="0" w:line="240" w:lineRule="auto"/>
              <w:ind w:left="0" w:hanging="2"/>
              <w:jc w:val="center"/>
              <w:rPr>
                <w:rFonts w:ascii="Bookman Old Style" w:eastAsia="Bookman Old Style" w:hAnsi="Bookman Old Style" w:cs="Bookman Old Style"/>
              </w:rPr>
            </w:pPr>
            <w:r>
              <w:rPr>
                <w:rFonts w:ascii="Bookman Old Style" w:eastAsia="Bookman Old Style" w:hAnsi="Bookman Old Style" w:cs="Bookman Old Style"/>
              </w:rPr>
              <w:t>2016</w:t>
            </w:r>
          </w:p>
        </w:tc>
        <w:tc>
          <w:tcPr>
            <w:tcW w:w="3087" w:type="dxa"/>
            <w:tcBorders>
              <w:top w:val="nil"/>
              <w:left w:val="nil"/>
              <w:bottom w:val="nil"/>
              <w:right w:val="nil"/>
            </w:tcBorders>
            <w:shd w:val="clear" w:color="auto" w:fill="DCE6F1"/>
            <w:vAlign w:val="center"/>
          </w:tcPr>
          <w:p w:rsidR="005D5635" w:rsidRDefault="00BF3A61">
            <w:pPr>
              <w:spacing w:after="0" w:line="240" w:lineRule="auto"/>
              <w:ind w:left="0" w:hanging="2"/>
              <w:jc w:val="center"/>
              <w:rPr>
                <w:rFonts w:ascii="Bookman Old Style" w:eastAsia="Bookman Old Style" w:hAnsi="Bookman Old Style" w:cs="Bookman Old Style"/>
              </w:rPr>
            </w:pPr>
            <w:r>
              <w:rPr>
                <w:rFonts w:ascii="Bookman Old Style" w:eastAsia="Bookman Old Style" w:hAnsi="Bookman Old Style" w:cs="Bookman Old Style"/>
              </w:rPr>
              <w:t>1.943,4</w:t>
            </w:r>
          </w:p>
        </w:tc>
        <w:tc>
          <w:tcPr>
            <w:tcW w:w="2430" w:type="dxa"/>
            <w:tcBorders>
              <w:top w:val="nil"/>
              <w:left w:val="nil"/>
              <w:bottom w:val="nil"/>
              <w:right w:val="nil"/>
            </w:tcBorders>
            <w:shd w:val="clear" w:color="auto" w:fill="DCE6F1"/>
            <w:vAlign w:val="center"/>
          </w:tcPr>
          <w:p w:rsidR="005D5635" w:rsidRDefault="00BF3A61">
            <w:pPr>
              <w:spacing w:after="0" w:line="240" w:lineRule="auto"/>
              <w:ind w:left="0" w:hanging="2"/>
              <w:jc w:val="center"/>
              <w:rPr>
                <w:rFonts w:ascii="Bookman Old Style" w:eastAsia="Bookman Old Style" w:hAnsi="Bookman Old Style" w:cs="Bookman Old Style"/>
              </w:rPr>
            </w:pPr>
            <w:r>
              <w:rPr>
                <w:rFonts w:ascii="Bookman Old Style" w:eastAsia="Bookman Old Style" w:hAnsi="Bookman Old Style" w:cs="Bookman Old Style"/>
              </w:rPr>
              <w:t>1.889,8</w:t>
            </w:r>
          </w:p>
        </w:tc>
        <w:tc>
          <w:tcPr>
            <w:tcW w:w="2271" w:type="dxa"/>
            <w:tcBorders>
              <w:top w:val="nil"/>
              <w:left w:val="nil"/>
              <w:bottom w:val="nil"/>
              <w:right w:val="nil"/>
            </w:tcBorders>
            <w:shd w:val="clear" w:color="auto" w:fill="DCE6F1"/>
            <w:vAlign w:val="center"/>
          </w:tcPr>
          <w:p w:rsidR="005D5635" w:rsidRDefault="00BF3A61">
            <w:pPr>
              <w:spacing w:after="0" w:line="240" w:lineRule="auto"/>
              <w:ind w:left="0" w:hanging="2"/>
              <w:jc w:val="center"/>
              <w:rPr>
                <w:rFonts w:ascii="Bookman Old Style" w:eastAsia="Bookman Old Style" w:hAnsi="Bookman Old Style" w:cs="Bookman Old Style"/>
              </w:rPr>
            </w:pPr>
            <w:r>
              <w:rPr>
                <w:rFonts w:ascii="Bookman Old Style" w:eastAsia="Bookman Old Style" w:hAnsi="Bookman Old Style" w:cs="Bookman Old Style"/>
              </w:rPr>
              <w:t>1.859,8</w:t>
            </w:r>
          </w:p>
        </w:tc>
      </w:tr>
      <w:tr w:rsidR="005D5635">
        <w:trPr>
          <w:trHeight w:val="420"/>
          <w:jc w:val="center"/>
        </w:trPr>
        <w:tc>
          <w:tcPr>
            <w:tcW w:w="1276" w:type="dxa"/>
            <w:tcBorders>
              <w:top w:val="nil"/>
              <w:left w:val="nil"/>
              <w:bottom w:val="nil"/>
              <w:right w:val="nil"/>
            </w:tcBorders>
            <w:shd w:val="clear" w:color="auto" w:fill="DCE6F1"/>
            <w:vAlign w:val="center"/>
          </w:tcPr>
          <w:p w:rsidR="005D5635" w:rsidRDefault="00BF3A61">
            <w:pPr>
              <w:spacing w:after="0" w:line="240" w:lineRule="auto"/>
              <w:ind w:left="0" w:hanging="2"/>
              <w:jc w:val="center"/>
              <w:rPr>
                <w:rFonts w:ascii="Bookman Old Style" w:eastAsia="Bookman Old Style" w:hAnsi="Bookman Old Style" w:cs="Bookman Old Style"/>
              </w:rPr>
            </w:pPr>
            <w:r>
              <w:rPr>
                <w:rFonts w:ascii="Bookman Old Style" w:eastAsia="Bookman Old Style" w:hAnsi="Bookman Old Style" w:cs="Bookman Old Style"/>
              </w:rPr>
              <w:t>2017</w:t>
            </w:r>
          </w:p>
        </w:tc>
        <w:tc>
          <w:tcPr>
            <w:tcW w:w="3087" w:type="dxa"/>
            <w:tcBorders>
              <w:top w:val="nil"/>
              <w:left w:val="nil"/>
              <w:bottom w:val="nil"/>
              <w:right w:val="nil"/>
            </w:tcBorders>
            <w:shd w:val="clear" w:color="auto" w:fill="DCE6F1"/>
            <w:vAlign w:val="center"/>
          </w:tcPr>
          <w:p w:rsidR="005D5635" w:rsidRDefault="00BF3A61">
            <w:pPr>
              <w:spacing w:after="0" w:line="240" w:lineRule="auto"/>
              <w:ind w:left="0" w:hanging="2"/>
              <w:jc w:val="center"/>
              <w:rPr>
                <w:rFonts w:ascii="Bookman Old Style" w:eastAsia="Bookman Old Style" w:hAnsi="Bookman Old Style" w:cs="Bookman Old Style"/>
              </w:rPr>
            </w:pPr>
            <w:r>
              <w:rPr>
                <w:rFonts w:ascii="Bookman Old Style" w:eastAsia="Bookman Old Style" w:hAnsi="Bookman Old Style" w:cs="Bookman Old Style"/>
              </w:rPr>
              <w:t>1.975,9</w:t>
            </w:r>
          </w:p>
        </w:tc>
        <w:tc>
          <w:tcPr>
            <w:tcW w:w="2430" w:type="dxa"/>
            <w:tcBorders>
              <w:top w:val="nil"/>
              <w:left w:val="nil"/>
              <w:bottom w:val="nil"/>
              <w:right w:val="nil"/>
            </w:tcBorders>
            <w:shd w:val="clear" w:color="auto" w:fill="DCE6F1"/>
            <w:vAlign w:val="center"/>
          </w:tcPr>
          <w:p w:rsidR="005D5635" w:rsidRDefault="00BF3A61">
            <w:pPr>
              <w:spacing w:after="0" w:line="240" w:lineRule="auto"/>
              <w:ind w:left="0" w:hanging="2"/>
              <w:jc w:val="center"/>
              <w:rPr>
                <w:rFonts w:ascii="Bookman Old Style" w:eastAsia="Bookman Old Style" w:hAnsi="Bookman Old Style" w:cs="Bookman Old Style"/>
              </w:rPr>
            </w:pPr>
            <w:r>
              <w:rPr>
                <w:rFonts w:ascii="Bookman Old Style" w:eastAsia="Bookman Old Style" w:hAnsi="Bookman Old Style" w:cs="Bookman Old Style"/>
              </w:rPr>
              <w:t>1.800,9</w:t>
            </w:r>
          </w:p>
        </w:tc>
        <w:tc>
          <w:tcPr>
            <w:tcW w:w="2271" w:type="dxa"/>
            <w:tcBorders>
              <w:top w:val="nil"/>
              <w:left w:val="nil"/>
              <w:bottom w:val="nil"/>
              <w:right w:val="nil"/>
            </w:tcBorders>
            <w:shd w:val="clear" w:color="auto" w:fill="DCE6F1"/>
            <w:vAlign w:val="center"/>
          </w:tcPr>
          <w:p w:rsidR="005D5635" w:rsidRDefault="00BF3A61">
            <w:pPr>
              <w:spacing w:after="0" w:line="240" w:lineRule="auto"/>
              <w:ind w:left="0" w:hanging="2"/>
              <w:jc w:val="center"/>
              <w:rPr>
                <w:rFonts w:ascii="Bookman Old Style" w:eastAsia="Bookman Old Style" w:hAnsi="Bookman Old Style" w:cs="Bookman Old Style"/>
              </w:rPr>
            </w:pPr>
            <w:r>
              <w:rPr>
                <w:rFonts w:ascii="Bookman Old Style" w:eastAsia="Bookman Old Style" w:hAnsi="Bookman Old Style" w:cs="Bookman Old Style"/>
              </w:rPr>
              <w:t>1.790,9</w:t>
            </w:r>
          </w:p>
        </w:tc>
      </w:tr>
      <w:tr w:rsidR="005D5635">
        <w:trPr>
          <w:trHeight w:val="420"/>
          <w:jc w:val="center"/>
        </w:trPr>
        <w:tc>
          <w:tcPr>
            <w:tcW w:w="1276" w:type="dxa"/>
            <w:tcBorders>
              <w:top w:val="nil"/>
              <w:left w:val="nil"/>
              <w:bottom w:val="nil"/>
              <w:right w:val="nil"/>
            </w:tcBorders>
            <w:shd w:val="clear" w:color="auto" w:fill="DCE6F1"/>
            <w:vAlign w:val="center"/>
          </w:tcPr>
          <w:p w:rsidR="005D5635" w:rsidRDefault="00BF3A61">
            <w:pPr>
              <w:spacing w:after="0" w:line="240" w:lineRule="auto"/>
              <w:ind w:left="0" w:hanging="2"/>
              <w:jc w:val="center"/>
              <w:rPr>
                <w:rFonts w:ascii="Bookman Old Style" w:eastAsia="Bookman Old Style" w:hAnsi="Bookman Old Style" w:cs="Bookman Old Style"/>
              </w:rPr>
            </w:pPr>
            <w:r>
              <w:rPr>
                <w:rFonts w:ascii="Bookman Old Style" w:eastAsia="Bookman Old Style" w:hAnsi="Bookman Old Style" w:cs="Bookman Old Style"/>
              </w:rPr>
              <w:t>2018*</w:t>
            </w:r>
          </w:p>
        </w:tc>
        <w:tc>
          <w:tcPr>
            <w:tcW w:w="3087" w:type="dxa"/>
            <w:tcBorders>
              <w:top w:val="nil"/>
              <w:left w:val="nil"/>
              <w:bottom w:val="nil"/>
              <w:right w:val="nil"/>
            </w:tcBorders>
            <w:shd w:val="clear" w:color="auto" w:fill="DCE6F1"/>
            <w:vAlign w:val="center"/>
          </w:tcPr>
          <w:p w:rsidR="005D5635" w:rsidRDefault="00BF3A61">
            <w:pPr>
              <w:spacing w:after="0" w:line="240" w:lineRule="auto"/>
              <w:ind w:left="0" w:hanging="2"/>
              <w:jc w:val="center"/>
              <w:rPr>
                <w:rFonts w:ascii="Bookman Old Style" w:eastAsia="Bookman Old Style" w:hAnsi="Bookman Old Style" w:cs="Bookman Old Style"/>
              </w:rPr>
            </w:pPr>
            <w:r>
              <w:rPr>
                <w:rFonts w:ascii="Bookman Old Style" w:eastAsia="Bookman Old Style" w:hAnsi="Bookman Old Style" w:cs="Bookman Old Style"/>
              </w:rPr>
              <w:t>2.200,3</w:t>
            </w:r>
          </w:p>
        </w:tc>
        <w:tc>
          <w:tcPr>
            <w:tcW w:w="2430" w:type="dxa"/>
            <w:tcBorders>
              <w:top w:val="nil"/>
              <w:left w:val="nil"/>
              <w:bottom w:val="nil"/>
              <w:right w:val="nil"/>
            </w:tcBorders>
            <w:shd w:val="clear" w:color="auto" w:fill="DCE6F1"/>
            <w:vAlign w:val="center"/>
          </w:tcPr>
          <w:p w:rsidR="005D5635" w:rsidRDefault="00BF3A61">
            <w:pPr>
              <w:spacing w:after="0" w:line="240" w:lineRule="auto"/>
              <w:ind w:left="0" w:hanging="2"/>
              <w:jc w:val="center"/>
              <w:rPr>
                <w:rFonts w:ascii="Bookman Old Style" w:eastAsia="Bookman Old Style" w:hAnsi="Bookman Old Style" w:cs="Bookman Old Style"/>
              </w:rPr>
            </w:pPr>
            <w:r>
              <w:rPr>
                <w:rFonts w:ascii="Bookman Old Style" w:eastAsia="Bookman Old Style" w:hAnsi="Bookman Old Style" w:cs="Bookman Old Style"/>
              </w:rPr>
              <w:t>1.954,1</w:t>
            </w:r>
          </w:p>
        </w:tc>
        <w:tc>
          <w:tcPr>
            <w:tcW w:w="2271" w:type="dxa"/>
            <w:tcBorders>
              <w:top w:val="nil"/>
              <w:left w:val="nil"/>
              <w:bottom w:val="nil"/>
              <w:right w:val="nil"/>
            </w:tcBorders>
            <w:shd w:val="clear" w:color="auto" w:fill="DCE6F1"/>
            <w:vAlign w:val="center"/>
          </w:tcPr>
          <w:p w:rsidR="005D5635" w:rsidRDefault="00BF3A61">
            <w:pPr>
              <w:spacing w:after="0" w:line="240" w:lineRule="auto"/>
              <w:ind w:left="0" w:hanging="2"/>
              <w:jc w:val="center"/>
              <w:rPr>
                <w:rFonts w:ascii="Bookman Old Style" w:eastAsia="Bookman Old Style" w:hAnsi="Bookman Old Style" w:cs="Bookman Old Style"/>
              </w:rPr>
            </w:pPr>
            <w:r>
              <w:rPr>
                <w:rFonts w:ascii="Bookman Old Style" w:eastAsia="Bookman Old Style" w:hAnsi="Bookman Old Style" w:cs="Bookman Old Style"/>
              </w:rPr>
              <w:t>1.725,9</w:t>
            </w:r>
          </w:p>
        </w:tc>
      </w:tr>
    </w:tbl>
    <w:p w:rsidR="005D5635" w:rsidRDefault="005D5635">
      <w:pPr>
        <w:spacing w:after="0" w:line="240" w:lineRule="auto"/>
        <w:jc w:val="both"/>
        <w:rPr>
          <w:rFonts w:ascii="Bookman Old Style" w:eastAsia="Bookman Old Style" w:hAnsi="Bookman Old Style" w:cs="Bookman Old Style"/>
          <w:sz w:val="16"/>
          <w:szCs w:val="16"/>
        </w:rPr>
      </w:pPr>
    </w:p>
    <w:p w:rsidR="005D5635" w:rsidRDefault="00BF3A61">
      <w:pPr>
        <w:spacing w:after="0" w:line="240" w:lineRule="auto"/>
        <w:jc w:val="both"/>
        <w:rPr>
          <w:rFonts w:ascii="Bookman Old Style" w:eastAsia="Bookman Old Style" w:hAnsi="Bookman Old Style" w:cs="Bookman Old Style"/>
          <w:sz w:val="16"/>
          <w:szCs w:val="16"/>
        </w:rPr>
      </w:pPr>
      <w:r>
        <w:rPr>
          <w:rFonts w:ascii="Bookman Old Style" w:eastAsia="Bookman Old Style" w:hAnsi="Bookman Old Style" w:cs="Bookman Old Style"/>
          <w:i/>
          <w:sz w:val="16"/>
          <w:szCs w:val="16"/>
        </w:rPr>
        <w:t xml:space="preserve">    Fuente: Dirección General Financiera, USAC</w:t>
      </w:r>
    </w:p>
    <w:p w:rsidR="005D5635" w:rsidRDefault="00BF3A61">
      <w:pPr>
        <w:spacing w:after="0" w:line="240" w:lineRule="auto"/>
        <w:jc w:val="both"/>
        <w:rPr>
          <w:rFonts w:ascii="Bookman Old Style" w:eastAsia="Bookman Old Style" w:hAnsi="Bookman Old Style" w:cs="Bookman Old Style"/>
          <w:sz w:val="16"/>
          <w:szCs w:val="16"/>
        </w:rPr>
      </w:pPr>
      <w:r>
        <w:rPr>
          <w:rFonts w:ascii="Bookman Old Style" w:eastAsia="Bookman Old Style" w:hAnsi="Bookman Old Style" w:cs="Bookman Old Style"/>
          <w:i/>
          <w:sz w:val="16"/>
          <w:szCs w:val="16"/>
        </w:rPr>
        <w:t xml:space="preserve">   * Cifras estimadas al 31 de diciembre de 2018</w:t>
      </w:r>
    </w:p>
    <w:p w:rsidR="005D5635" w:rsidRDefault="00BF3A61">
      <w:pPr>
        <w:spacing w:after="0" w:line="240" w:lineRule="auto"/>
        <w:jc w:val="both"/>
        <w:rPr>
          <w:rFonts w:ascii="Bookman Old Style" w:eastAsia="Bookman Old Style" w:hAnsi="Bookman Old Style" w:cs="Bookman Old Style"/>
          <w:sz w:val="16"/>
          <w:szCs w:val="16"/>
        </w:rPr>
      </w:pPr>
      <w:r>
        <w:rPr>
          <w:rFonts w:ascii="Bookman Old Style" w:eastAsia="Bookman Old Style" w:hAnsi="Bookman Old Style" w:cs="Bookman Old Style"/>
          <w:i/>
          <w:sz w:val="16"/>
          <w:szCs w:val="16"/>
        </w:rPr>
        <w:t xml:space="preserve">   ** Incluye aporte ordinario, extraordinario y fondos propios de la Universidad</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b/>
          <w:i/>
          <w:sz w:val="24"/>
          <w:szCs w:val="24"/>
        </w:rPr>
        <w:t>Medidas aprobadas por el CSU ante la crisis financiera de la USAC</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t>Incuestionablemente la crisis de la Universidad viene de años anteriores, ya que se ha contado con presu</w:t>
      </w:r>
      <w:r>
        <w:rPr>
          <w:rFonts w:ascii="Bookman Old Style" w:eastAsia="Bookman Old Style" w:hAnsi="Bookman Old Style" w:cs="Bookman Old Style"/>
          <w:sz w:val="24"/>
          <w:szCs w:val="24"/>
        </w:rPr>
        <w:t xml:space="preserve">puestos desfinanciados, situación que se agrava en el 2018, que para diciembre del año en curso no se contará con los recursos suficientes para la prestación de los servicios y ni siquiera para cubrir salarios. Esta situación frenará el cumplimiento total </w:t>
      </w:r>
      <w:r>
        <w:rPr>
          <w:rFonts w:ascii="Bookman Old Style" w:eastAsia="Bookman Old Style" w:hAnsi="Bookman Old Style" w:cs="Bookman Old Style"/>
          <w:sz w:val="24"/>
          <w:szCs w:val="24"/>
        </w:rPr>
        <w:t>de los compromisos que con exclusividad le corresponde a la USAC.</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t>Ante dicha crisis y con el fin de generar ingresos financieros para subsanar las finanzas de la Universidad, el CSU adopta las siguientes medidas:</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240" w:lineRule="auto"/>
        <w:ind w:left="0" w:hanging="2"/>
        <w:jc w:val="both"/>
        <w:rPr>
          <w:rFonts w:ascii="Bookman Old Style" w:eastAsia="Bookman Old Style" w:hAnsi="Bookman Old Style" w:cs="Bookman Old Style"/>
        </w:rPr>
      </w:pPr>
      <w:r>
        <w:rPr>
          <w:rFonts w:ascii="Bookman Old Style" w:eastAsia="Bookman Old Style" w:hAnsi="Bookman Old Style" w:cs="Bookman Old Style"/>
          <w:b/>
        </w:rPr>
        <w:t>Tabla 2</w:t>
      </w:r>
    </w:p>
    <w:p w:rsidR="005D5635" w:rsidRDefault="00BF3A61">
      <w:pPr>
        <w:spacing w:after="0" w:line="240" w:lineRule="auto"/>
        <w:ind w:left="0" w:hanging="2"/>
        <w:jc w:val="both"/>
        <w:rPr>
          <w:rFonts w:ascii="Bookman Old Style" w:eastAsia="Bookman Old Style" w:hAnsi="Bookman Old Style" w:cs="Bookman Old Style"/>
        </w:rPr>
      </w:pPr>
      <w:r>
        <w:rPr>
          <w:rFonts w:ascii="Bookman Old Style" w:eastAsia="Bookman Old Style" w:hAnsi="Bookman Old Style" w:cs="Bookman Old Style"/>
        </w:rPr>
        <w:t>Medidas de austeridad aprob</w:t>
      </w:r>
      <w:r>
        <w:rPr>
          <w:rFonts w:ascii="Bookman Old Style" w:eastAsia="Bookman Old Style" w:hAnsi="Bookman Old Style" w:cs="Bookman Old Style"/>
        </w:rPr>
        <w:t>adas por el CSU ante la crisis actual de la USAC</w:t>
      </w:r>
    </w:p>
    <w:p w:rsidR="005D5635" w:rsidRDefault="005D5635">
      <w:pPr>
        <w:spacing w:after="0" w:line="240" w:lineRule="auto"/>
        <w:ind w:left="0" w:hanging="2"/>
        <w:jc w:val="both"/>
        <w:rPr>
          <w:rFonts w:ascii="Bookman Old Style" w:eastAsia="Bookman Old Style" w:hAnsi="Bookman Old Style" w:cs="Bookman Old Style"/>
        </w:rPr>
      </w:pPr>
    </w:p>
    <w:tbl>
      <w:tblPr>
        <w:tblStyle w:val="a0"/>
        <w:tblW w:w="9062" w:type="dxa"/>
        <w:jc w:val="center"/>
        <w:tblInd w:w="0" w:type="dxa"/>
        <w:tblLayout w:type="fixed"/>
        <w:tblLook w:val="0000" w:firstRow="0" w:lastRow="0" w:firstColumn="0" w:lastColumn="0" w:noHBand="0" w:noVBand="0"/>
      </w:tblPr>
      <w:tblGrid>
        <w:gridCol w:w="2048"/>
        <w:gridCol w:w="3051"/>
        <w:gridCol w:w="3963"/>
      </w:tblGrid>
      <w:tr w:rsidR="005D5635">
        <w:trPr>
          <w:trHeight w:val="640"/>
          <w:jc w:val="center"/>
        </w:trPr>
        <w:tc>
          <w:tcPr>
            <w:tcW w:w="2048" w:type="dxa"/>
            <w:tcBorders>
              <w:bottom w:val="single" w:sz="4" w:space="0" w:color="000000"/>
            </w:tcBorders>
            <w:shd w:val="clear" w:color="auto" w:fill="B8CCE4"/>
            <w:vAlign w:val="center"/>
          </w:tcPr>
          <w:p w:rsidR="005D5635" w:rsidRDefault="00BF3A61">
            <w:pPr>
              <w:spacing w:after="0" w:line="240" w:lineRule="auto"/>
              <w:ind w:left="0" w:hanging="2"/>
              <w:jc w:val="center"/>
              <w:rPr>
                <w:rFonts w:ascii="Bookman Old Style" w:eastAsia="Bookman Old Style" w:hAnsi="Bookman Old Style" w:cs="Bookman Old Style"/>
              </w:rPr>
            </w:pPr>
            <w:r>
              <w:rPr>
                <w:rFonts w:ascii="Bookman Old Style" w:eastAsia="Bookman Old Style" w:hAnsi="Bookman Old Style" w:cs="Bookman Old Style"/>
                <w:b/>
              </w:rPr>
              <w:t>Fecha</w:t>
            </w:r>
          </w:p>
        </w:tc>
        <w:tc>
          <w:tcPr>
            <w:tcW w:w="3051" w:type="dxa"/>
            <w:tcBorders>
              <w:bottom w:val="single" w:sz="4" w:space="0" w:color="000000"/>
            </w:tcBorders>
            <w:shd w:val="clear" w:color="auto" w:fill="B8CCE4"/>
            <w:vAlign w:val="center"/>
          </w:tcPr>
          <w:p w:rsidR="005D5635" w:rsidRDefault="00BF3A61">
            <w:pPr>
              <w:spacing w:after="0" w:line="240" w:lineRule="auto"/>
              <w:ind w:left="0" w:hanging="2"/>
              <w:jc w:val="center"/>
              <w:rPr>
                <w:rFonts w:ascii="Bookman Old Style" w:eastAsia="Bookman Old Style" w:hAnsi="Bookman Old Style" w:cs="Bookman Old Style"/>
              </w:rPr>
            </w:pPr>
            <w:r>
              <w:rPr>
                <w:rFonts w:ascii="Bookman Old Style" w:eastAsia="Bookman Old Style" w:hAnsi="Bookman Old Style" w:cs="Bookman Old Style"/>
                <w:b/>
              </w:rPr>
              <w:t>Medida</w:t>
            </w:r>
          </w:p>
        </w:tc>
        <w:tc>
          <w:tcPr>
            <w:tcW w:w="3963" w:type="dxa"/>
            <w:tcBorders>
              <w:bottom w:val="single" w:sz="4" w:space="0" w:color="000000"/>
            </w:tcBorders>
            <w:shd w:val="clear" w:color="auto" w:fill="B8CCE4"/>
            <w:vAlign w:val="center"/>
          </w:tcPr>
          <w:p w:rsidR="005D5635" w:rsidRDefault="00BF3A61">
            <w:pPr>
              <w:spacing w:after="0" w:line="240" w:lineRule="auto"/>
              <w:ind w:left="0" w:hanging="2"/>
              <w:jc w:val="center"/>
              <w:rPr>
                <w:rFonts w:ascii="Bookman Old Style" w:eastAsia="Bookman Old Style" w:hAnsi="Bookman Old Style" w:cs="Bookman Old Style"/>
              </w:rPr>
            </w:pPr>
            <w:r>
              <w:rPr>
                <w:rFonts w:ascii="Bookman Old Style" w:eastAsia="Bookman Old Style" w:hAnsi="Bookman Old Style" w:cs="Bookman Old Style"/>
                <w:b/>
              </w:rPr>
              <w:t>Descripción</w:t>
            </w:r>
          </w:p>
        </w:tc>
      </w:tr>
      <w:tr w:rsidR="005D5635">
        <w:trPr>
          <w:trHeight w:val="100"/>
          <w:jc w:val="center"/>
        </w:trPr>
        <w:tc>
          <w:tcPr>
            <w:tcW w:w="2048" w:type="dxa"/>
            <w:tcBorders>
              <w:top w:val="single" w:sz="4" w:space="0" w:color="000000"/>
            </w:tcBorders>
            <w:shd w:val="clear" w:color="auto" w:fill="DBE5F1"/>
            <w:vAlign w:val="center"/>
          </w:tcPr>
          <w:p w:rsidR="005D5635" w:rsidRDefault="00BF3A61">
            <w:pPr>
              <w:spacing w:after="0" w:line="240" w:lineRule="auto"/>
              <w:ind w:left="0" w:hanging="2"/>
              <w:jc w:val="center"/>
              <w:rPr>
                <w:rFonts w:ascii="Bookman Old Style" w:eastAsia="Bookman Old Style" w:hAnsi="Bookman Old Style" w:cs="Bookman Old Style"/>
              </w:rPr>
            </w:pPr>
            <w:r>
              <w:rPr>
                <w:rFonts w:ascii="Bookman Old Style" w:eastAsia="Bookman Old Style" w:hAnsi="Bookman Old Style" w:cs="Bookman Old Style"/>
              </w:rPr>
              <w:lastRenderedPageBreak/>
              <w:t>3 de agosto 2018</w:t>
            </w:r>
          </w:p>
        </w:tc>
        <w:tc>
          <w:tcPr>
            <w:tcW w:w="3051" w:type="dxa"/>
            <w:tcBorders>
              <w:top w:val="single" w:sz="4" w:space="0" w:color="000000"/>
            </w:tcBorders>
            <w:shd w:val="clear" w:color="auto" w:fill="DBE5F1"/>
          </w:tcPr>
          <w:p w:rsidR="005D5635" w:rsidRDefault="005D5635">
            <w:pPr>
              <w:spacing w:after="0" w:line="240" w:lineRule="auto"/>
              <w:ind w:left="0" w:hanging="2"/>
              <w:jc w:val="both"/>
              <w:rPr>
                <w:rFonts w:ascii="Bookman Old Style" w:eastAsia="Bookman Old Style" w:hAnsi="Bookman Old Style" w:cs="Bookman Old Style"/>
              </w:rPr>
            </w:pPr>
          </w:p>
          <w:p w:rsidR="005D5635" w:rsidRDefault="00BF3A61">
            <w:pPr>
              <w:spacing w:after="0" w:line="240" w:lineRule="auto"/>
              <w:ind w:left="0" w:hanging="2"/>
              <w:jc w:val="both"/>
              <w:rPr>
                <w:rFonts w:ascii="Bookman Old Style" w:eastAsia="Bookman Old Style" w:hAnsi="Bookman Old Style" w:cs="Bookman Old Style"/>
              </w:rPr>
            </w:pPr>
            <w:r>
              <w:rPr>
                <w:rFonts w:ascii="Bookman Old Style" w:eastAsia="Bookman Old Style" w:hAnsi="Bookman Old Style" w:cs="Bookman Old Style"/>
              </w:rPr>
              <w:t>Nueve políticas de austeridad</w:t>
            </w:r>
          </w:p>
        </w:tc>
        <w:tc>
          <w:tcPr>
            <w:tcW w:w="3963" w:type="dxa"/>
            <w:tcBorders>
              <w:top w:val="single" w:sz="4" w:space="0" w:color="000000"/>
            </w:tcBorders>
            <w:shd w:val="clear" w:color="auto" w:fill="DBE5F1"/>
          </w:tcPr>
          <w:p w:rsidR="005D5635" w:rsidRDefault="00BF3A61">
            <w:pPr>
              <w:spacing w:after="0" w:line="240" w:lineRule="auto"/>
              <w:ind w:left="0" w:hanging="2"/>
              <w:jc w:val="both"/>
              <w:rPr>
                <w:rFonts w:ascii="Bookman Old Style" w:eastAsia="Bookman Old Style" w:hAnsi="Bookman Old Style" w:cs="Bookman Old Style"/>
              </w:rPr>
            </w:pPr>
            <w:r>
              <w:rPr>
                <w:rFonts w:ascii="Bookman Old Style" w:eastAsia="Bookman Old Style" w:hAnsi="Bookman Old Style" w:cs="Bookman Old Style"/>
              </w:rPr>
              <w:t>Su aplicación es obligatoria en todas las dependencias de la Universidad a partir de la misma fecha de aprobación.</w:t>
            </w:r>
          </w:p>
        </w:tc>
      </w:tr>
      <w:tr w:rsidR="005D5635">
        <w:trPr>
          <w:trHeight w:val="220"/>
          <w:jc w:val="center"/>
        </w:trPr>
        <w:tc>
          <w:tcPr>
            <w:tcW w:w="2048" w:type="dxa"/>
            <w:shd w:val="clear" w:color="auto" w:fill="B8CCE4"/>
            <w:vAlign w:val="center"/>
          </w:tcPr>
          <w:p w:rsidR="005D5635" w:rsidRDefault="00BF3A61">
            <w:pPr>
              <w:spacing w:after="0" w:line="240" w:lineRule="auto"/>
              <w:ind w:left="0" w:hanging="2"/>
              <w:jc w:val="center"/>
              <w:rPr>
                <w:rFonts w:ascii="Bookman Old Style" w:eastAsia="Bookman Old Style" w:hAnsi="Bookman Old Style" w:cs="Bookman Old Style"/>
              </w:rPr>
            </w:pPr>
            <w:r>
              <w:rPr>
                <w:rFonts w:ascii="Bookman Old Style" w:eastAsia="Bookman Old Style" w:hAnsi="Bookman Old Style" w:cs="Bookman Old Style"/>
              </w:rPr>
              <w:t>14 de agosto 2018</w:t>
            </w:r>
          </w:p>
        </w:tc>
        <w:tc>
          <w:tcPr>
            <w:tcW w:w="3051" w:type="dxa"/>
            <w:shd w:val="clear" w:color="auto" w:fill="B8CCE4"/>
          </w:tcPr>
          <w:p w:rsidR="005D5635" w:rsidRDefault="00BF3A61">
            <w:pPr>
              <w:spacing w:after="0" w:line="240" w:lineRule="auto"/>
              <w:ind w:left="0" w:hanging="2"/>
              <w:jc w:val="both"/>
              <w:rPr>
                <w:rFonts w:ascii="Bookman Old Style" w:eastAsia="Bookman Old Style" w:hAnsi="Bookman Old Style" w:cs="Bookman Old Style"/>
              </w:rPr>
            </w:pPr>
            <w:r>
              <w:rPr>
                <w:rFonts w:ascii="Bookman Old Style" w:eastAsia="Bookman Old Style" w:hAnsi="Bookman Old Style" w:cs="Bookman Old Style"/>
              </w:rPr>
              <w:t>Anteproyecto de ley "READECUACIÓN APOYO PRESUPUESTARIO A LA UNIVERSIDAD DE SAN CARLOS DE GUATEMALA, CORRESPONDIENTE AL EJE</w:t>
            </w:r>
            <w:r>
              <w:rPr>
                <w:rFonts w:ascii="Bookman Old Style" w:eastAsia="Bookman Old Style" w:hAnsi="Bookman Old Style" w:cs="Bookman Old Style"/>
              </w:rPr>
              <w:t>RCICIO FISCAL 2018"</w:t>
            </w:r>
          </w:p>
        </w:tc>
        <w:tc>
          <w:tcPr>
            <w:tcW w:w="3963" w:type="dxa"/>
            <w:shd w:val="clear" w:color="auto" w:fill="B8CCE4"/>
          </w:tcPr>
          <w:p w:rsidR="005D5635" w:rsidRDefault="00BF3A61">
            <w:pPr>
              <w:spacing w:after="0" w:line="240" w:lineRule="auto"/>
              <w:ind w:left="0" w:hanging="2"/>
              <w:jc w:val="both"/>
              <w:rPr>
                <w:rFonts w:ascii="Bookman Old Style" w:eastAsia="Bookman Old Style" w:hAnsi="Bookman Old Style" w:cs="Bookman Old Style"/>
              </w:rPr>
            </w:pPr>
            <w:r>
              <w:rPr>
                <w:rFonts w:ascii="Bookman Old Style" w:eastAsia="Bookman Old Style" w:hAnsi="Bookman Old Style" w:cs="Bookman Old Style"/>
              </w:rPr>
              <w:t xml:space="preserve">Anteproyecto presentado por el CSU al Congreso de la República identificado como Iniciativa de Ley número 5491, el 21 de agosto del presente año, solicitando un monto de SETECIENTOS DIECIOCHO MILLONES SETECIENTOS CUARENTA MIL QUETZALES </w:t>
            </w:r>
            <w:r>
              <w:rPr>
                <w:rFonts w:ascii="Bookman Old Style" w:eastAsia="Bookman Old Style" w:hAnsi="Bookman Old Style" w:cs="Bookman Old Style"/>
              </w:rPr>
              <w:t xml:space="preserve">Q718,740,000.00), </w:t>
            </w:r>
          </w:p>
        </w:tc>
      </w:tr>
      <w:tr w:rsidR="005D5635">
        <w:trPr>
          <w:trHeight w:val="220"/>
          <w:jc w:val="center"/>
        </w:trPr>
        <w:tc>
          <w:tcPr>
            <w:tcW w:w="2048" w:type="dxa"/>
            <w:shd w:val="clear" w:color="auto" w:fill="DBE5F1"/>
            <w:vAlign w:val="center"/>
          </w:tcPr>
          <w:p w:rsidR="005D5635" w:rsidRDefault="00BF3A61">
            <w:pPr>
              <w:spacing w:after="0" w:line="240" w:lineRule="auto"/>
              <w:ind w:left="0" w:hanging="2"/>
              <w:jc w:val="center"/>
              <w:rPr>
                <w:rFonts w:ascii="Bookman Old Style" w:eastAsia="Bookman Old Style" w:hAnsi="Bookman Old Style" w:cs="Bookman Old Style"/>
              </w:rPr>
            </w:pPr>
            <w:r>
              <w:rPr>
                <w:rFonts w:ascii="Bookman Old Style" w:eastAsia="Bookman Old Style" w:hAnsi="Bookman Old Style" w:cs="Bookman Old Style"/>
              </w:rPr>
              <w:t>12 de septiembre 2018</w:t>
            </w:r>
          </w:p>
        </w:tc>
        <w:tc>
          <w:tcPr>
            <w:tcW w:w="3051" w:type="dxa"/>
            <w:shd w:val="clear" w:color="auto" w:fill="DBE5F1"/>
          </w:tcPr>
          <w:p w:rsidR="005D5635" w:rsidRDefault="005D5635">
            <w:pPr>
              <w:spacing w:after="0" w:line="240" w:lineRule="auto"/>
              <w:ind w:left="0" w:hanging="2"/>
              <w:jc w:val="both"/>
              <w:rPr>
                <w:rFonts w:ascii="Bookman Old Style" w:eastAsia="Bookman Old Style" w:hAnsi="Bookman Old Style" w:cs="Bookman Old Style"/>
              </w:rPr>
            </w:pPr>
          </w:p>
          <w:p w:rsidR="005D5635" w:rsidRDefault="005D5635">
            <w:pPr>
              <w:spacing w:after="0" w:line="240" w:lineRule="auto"/>
              <w:ind w:left="0" w:hanging="2"/>
              <w:jc w:val="both"/>
              <w:rPr>
                <w:rFonts w:ascii="Bookman Old Style" w:eastAsia="Bookman Old Style" w:hAnsi="Bookman Old Style" w:cs="Bookman Old Style"/>
              </w:rPr>
            </w:pPr>
          </w:p>
          <w:p w:rsidR="005D5635" w:rsidRDefault="00BF3A61">
            <w:pPr>
              <w:spacing w:after="0" w:line="240" w:lineRule="auto"/>
              <w:ind w:left="0" w:hanging="2"/>
              <w:jc w:val="both"/>
              <w:rPr>
                <w:rFonts w:ascii="Bookman Old Style" w:eastAsia="Bookman Old Style" w:hAnsi="Bookman Old Style" w:cs="Bookman Old Style"/>
              </w:rPr>
            </w:pPr>
            <w:r>
              <w:rPr>
                <w:rFonts w:ascii="Bookman Old Style" w:eastAsia="Bookman Old Style" w:hAnsi="Bookman Old Style" w:cs="Bookman Old Style"/>
              </w:rPr>
              <w:t>Contratación hora-curso</w:t>
            </w:r>
          </w:p>
        </w:tc>
        <w:tc>
          <w:tcPr>
            <w:tcW w:w="3963" w:type="dxa"/>
            <w:shd w:val="clear" w:color="auto" w:fill="DBE5F1"/>
          </w:tcPr>
          <w:p w:rsidR="005D5635" w:rsidRDefault="00BF3A61">
            <w:pPr>
              <w:spacing w:after="0" w:line="240" w:lineRule="auto"/>
              <w:ind w:left="0" w:hanging="2"/>
              <w:jc w:val="both"/>
              <w:rPr>
                <w:rFonts w:ascii="Bookman Old Style" w:eastAsia="Bookman Old Style" w:hAnsi="Bookman Old Style" w:cs="Bookman Old Style"/>
              </w:rPr>
            </w:pPr>
            <w:r>
              <w:rPr>
                <w:rFonts w:ascii="Bookman Old Style" w:eastAsia="Bookman Old Style" w:hAnsi="Bookman Old Style" w:cs="Bookman Old Style"/>
              </w:rPr>
              <w:t>Establecer que en aquellas unidades académicas que no cuenten con disponibilidad presupuestaria, la contratación se realice hasta por un máximo de una hora (cuota, hora diaria, mes)</w:t>
            </w:r>
          </w:p>
        </w:tc>
      </w:tr>
      <w:tr w:rsidR="005D5635">
        <w:trPr>
          <w:trHeight w:val="220"/>
          <w:jc w:val="center"/>
        </w:trPr>
        <w:tc>
          <w:tcPr>
            <w:tcW w:w="2048" w:type="dxa"/>
            <w:shd w:val="clear" w:color="auto" w:fill="B8CCE4"/>
            <w:vAlign w:val="center"/>
          </w:tcPr>
          <w:p w:rsidR="005D5635" w:rsidRDefault="00BF3A61">
            <w:pPr>
              <w:spacing w:after="0" w:line="240" w:lineRule="auto"/>
              <w:ind w:left="0" w:hanging="2"/>
              <w:jc w:val="center"/>
              <w:rPr>
                <w:rFonts w:ascii="Bookman Old Style" w:eastAsia="Bookman Old Style" w:hAnsi="Bookman Old Style" w:cs="Bookman Old Style"/>
              </w:rPr>
            </w:pPr>
            <w:r>
              <w:rPr>
                <w:rFonts w:ascii="Bookman Old Style" w:eastAsia="Bookman Old Style" w:hAnsi="Bookman Old Style" w:cs="Bookman Old Style"/>
              </w:rPr>
              <w:t>26 de septiembre 2018</w:t>
            </w:r>
          </w:p>
        </w:tc>
        <w:tc>
          <w:tcPr>
            <w:tcW w:w="3051" w:type="dxa"/>
            <w:shd w:val="clear" w:color="auto" w:fill="B8CCE4"/>
          </w:tcPr>
          <w:p w:rsidR="005D5635" w:rsidRDefault="00BF3A61">
            <w:pPr>
              <w:numPr>
                <w:ilvl w:val="0"/>
                <w:numId w:val="1"/>
              </w:numPr>
              <w:spacing w:after="0" w:line="240" w:lineRule="auto"/>
              <w:ind w:left="0" w:hanging="2"/>
              <w:jc w:val="both"/>
            </w:pPr>
            <w:r>
              <w:rPr>
                <w:rFonts w:ascii="Bookman Old Style" w:eastAsia="Bookman Old Style" w:hAnsi="Bookman Old Style" w:cs="Bookman Old Style"/>
              </w:rPr>
              <w:t xml:space="preserve">Congelar las asignaciones del grupo 3 “Propiedad Planta, Mobiliario, Equipo e Intangibles” del Presupuesto de Egresos Ordinarios de la Universidad de San Carlos de Guatemala para el Ejercicio 2018. Las compras con cargo a este grupo de gasto, que al 26 de </w:t>
            </w:r>
            <w:r>
              <w:rPr>
                <w:rFonts w:ascii="Bookman Old Style" w:eastAsia="Bookman Old Style" w:hAnsi="Bookman Old Style" w:cs="Bookman Old Style"/>
              </w:rPr>
              <w:t>septiembre del presente año y que no se encuentren comprometidas (con disponibilidad presupuestal asignada) presupuestariamente, suspenderán su trámite.</w:t>
            </w:r>
          </w:p>
          <w:p w:rsidR="005D5635" w:rsidRDefault="005D5635">
            <w:pPr>
              <w:spacing w:after="0" w:line="240" w:lineRule="auto"/>
              <w:ind w:left="0" w:hanging="2"/>
              <w:jc w:val="both"/>
              <w:rPr>
                <w:rFonts w:ascii="Bookman Old Style" w:eastAsia="Bookman Old Style" w:hAnsi="Bookman Old Style" w:cs="Bookman Old Style"/>
              </w:rPr>
            </w:pPr>
          </w:p>
          <w:p w:rsidR="005D5635" w:rsidRDefault="00BF3A61">
            <w:pPr>
              <w:numPr>
                <w:ilvl w:val="0"/>
                <w:numId w:val="1"/>
              </w:numPr>
              <w:spacing w:after="0" w:line="240" w:lineRule="auto"/>
              <w:ind w:left="0" w:hanging="2"/>
              <w:jc w:val="both"/>
            </w:pPr>
            <w:r>
              <w:rPr>
                <w:rFonts w:ascii="Bookman Old Style" w:eastAsia="Bookman Old Style" w:hAnsi="Bookman Old Style" w:cs="Bookman Old Style"/>
              </w:rPr>
              <w:t>Suspender temporalmente la convocatoria a concursos de oposición.</w:t>
            </w:r>
          </w:p>
        </w:tc>
        <w:tc>
          <w:tcPr>
            <w:tcW w:w="3963" w:type="dxa"/>
            <w:shd w:val="clear" w:color="auto" w:fill="B8CCE4"/>
          </w:tcPr>
          <w:p w:rsidR="005D5635" w:rsidRDefault="00BF3A61">
            <w:pPr>
              <w:spacing w:after="0" w:line="240" w:lineRule="auto"/>
              <w:ind w:left="0" w:hanging="2"/>
              <w:jc w:val="both"/>
              <w:rPr>
                <w:rFonts w:ascii="Bookman Old Style" w:eastAsia="Bookman Old Style" w:hAnsi="Bookman Old Style" w:cs="Bookman Old Style"/>
              </w:rPr>
            </w:pPr>
            <w:r>
              <w:rPr>
                <w:rFonts w:ascii="Bookman Old Style" w:eastAsia="Bookman Old Style" w:hAnsi="Bookman Old Style" w:cs="Bookman Old Style"/>
              </w:rPr>
              <w:t>Congelar la ejecución de los concept</w:t>
            </w:r>
            <w:r>
              <w:rPr>
                <w:rFonts w:ascii="Bookman Old Style" w:eastAsia="Bookman Old Style" w:hAnsi="Bookman Old Style" w:cs="Bookman Old Style"/>
              </w:rPr>
              <w:t>os contenidos en los renglones de gasto siguientes: viáticos en el exterior; transporte de personas; otras transferencias a personas individuales (ayudas económicas); transferencias a otras instituciones sin fines de lucro (ayudas económicas); combustibles</w:t>
            </w:r>
            <w:r>
              <w:rPr>
                <w:rFonts w:ascii="Bookman Old Style" w:eastAsia="Bookman Old Style" w:hAnsi="Bookman Old Style" w:cs="Bookman Old Style"/>
              </w:rPr>
              <w:t xml:space="preserve"> y lubricantes.</w:t>
            </w:r>
          </w:p>
          <w:p w:rsidR="005D5635" w:rsidRDefault="005D5635">
            <w:pPr>
              <w:spacing w:after="0" w:line="240" w:lineRule="auto"/>
              <w:ind w:left="0" w:hanging="2"/>
              <w:jc w:val="both"/>
              <w:rPr>
                <w:rFonts w:ascii="Bookman Old Style" w:eastAsia="Bookman Old Style" w:hAnsi="Bookman Old Style" w:cs="Bookman Old Style"/>
              </w:rPr>
            </w:pPr>
          </w:p>
          <w:p w:rsidR="005D5635" w:rsidRDefault="00BF3A61">
            <w:pPr>
              <w:spacing w:after="0" w:line="240" w:lineRule="auto"/>
              <w:ind w:left="0" w:hanging="2"/>
              <w:jc w:val="both"/>
              <w:rPr>
                <w:rFonts w:ascii="Bookman Old Style" w:eastAsia="Bookman Old Style" w:hAnsi="Bookman Old Style" w:cs="Bookman Old Style"/>
              </w:rPr>
            </w:pPr>
            <w:r>
              <w:rPr>
                <w:rFonts w:ascii="Bookman Old Style" w:eastAsia="Bookman Old Style" w:hAnsi="Bookman Old Style" w:cs="Bookman Old Style"/>
              </w:rPr>
              <w:t xml:space="preserve">En cuanto suspender la convocatoria a concursos de oposición, esta es para el año en curso y el 2019, hasta nuevo aviso. Dicha medida es para las distintas unidades académicas. Salvo aquellas unidades académicas que ya iniciaron procesos y que cuenten con </w:t>
            </w:r>
            <w:r>
              <w:rPr>
                <w:rFonts w:ascii="Bookman Old Style" w:eastAsia="Bookman Old Style" w:hAnsi="Bookman Old Style" w:cs="Bookman Old Style"/>
              </w:rPr>
              <w:t>la disponibilidad presupuestaria para el efecto, no se autorizarán asignaciones adicionales de presupuesto para tales fines.</w:t>
            </w:r>
          </w:p>
        </w:tc>
      </w:tr>
    </w:tbl>
    <w:p w:rsidR="005D5635" w:rsidRDefault="00BF3A61">
      <w:pPr>
        <w:spacing w:after="0" w:line="240" w:lineRule="auto"/>
        <w:jc w:val="both"/>
        <w:rPr>
          <w:rFonts w:ascii="Bookman Old Style" w:eastAsia="Bookman Old Style" w:hAnsi="Bookman Old Style" w:cs="Bookman Old Style"/>
          <w:sz w:val="16"/>
          <w:szCs w:val="16"/>
        </w:rPr>
      </w:pPr>
      <w:r>
        <w:rPr>
          <w:rFonts w:ascii="Bookman Old Style" w:eastAsia="Bookman Old Style" w:hAnsi="Bookman Old Style" w:cs="Bookman Old Style"/>
          <w:i/>
          <w:sz w:val="16"/>
          <w:szCs w:val="16"/>
        </w:rPr>
        <w:t xml:space="preserve">   Fuente: Dirección General Financiera, USAC</w:t>
      </w: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b/>
          <w:i/>
          <w:sz w:val="24"/>
          <w:szCs w:val="24"/>
        </w:rPr>
        <w:t>Situación financiera actual</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El 22 de noviembre de 2017, fue aprobado por el CSU el presupuesto ordinario de la USAC por un monto de Q2.200,308,623.00, sin embargo, el 30 de noviembre del mismo año, el Congreso de la República no aprobó el Presupuesto General de Ingresos y Egresos del</w:t>
      </w:r>
      <w:r>
        <w:rPr>
          <w:rFonts w:ascii="Bookman Old Style" w:eastAsia="Bookman Old Style" w:hAnsi="Bookman Old Style" w:cs="Bookman Old Style"/>
          <w:sz w:val="24"/>
          <w:szCs w:val="24"/>
        </w:rPr>
        <w:t xml:space="preserve"> Estado para el ejercicio fiscal 2018. Esta situación afectó el presupuesto ordinario de la USAC aprobado por el CSU, afectando aún más su desfinanciamiento.</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El Congreso de la República al no aprobar el presupuesto 2018, programó la misma cifra de lo apro</w:t>
      </w:r>
      <w:r>
        <w:rPr>
          <w:rFonts w:ascii="Bookman Old Style" w:eastAsia="Bookman Old Style" w:hAnsi="Bookman Old Style" w:cs="Bookman Old Style"/>
          <w:sz w:val="24"/>
          <w:szCs w:val="24"/>
        </w:rPr>
        <w:t>bado en el 2017, por lo tanto, el aporte estatal a la Universidad fue de Q1.725,872,000.00, lo cual, dejó un desfinanciamiento del techo presupuestario de Q474,4 millones, sin embargo, al sumarle 69,3 millones que corresponden a otros ingresos de la USAC (</w:t>
      </w:r>
      <w:r>
        <w:rPr>
          <w:rFonts w:ascii="Bookman Old Style" w:eastAsia="Bookman Old Style" w:hAnsi="Bookman Old Style" w:cs="Bookman Old Style"/>
          <w:sz w:val="24"/>
          <w:szCs w:val="24"/>
        </w:rPr>
        <w:t>rentas, matrícula estudiantil, venta de bienes, etc.) el desfinanciamiento asciende a Q405,091,933.00, que representa el 18.41% del presupuesto ordinario aprobado por el CSU. (Tabla 3)</w:t>
      </w:r>
    </w:p>
    <w:p w:rsidR="005D5635" w:rsidRDefault="005D5635">
      <w:pPr>
        <w:spacing w:after="0" w:line="240" w:lineRule="auto"/>
        <w:ind w:left="0" w:hanging="2"/>
        <w:jc w:val="both"/>
        <w:rPr>
          <w:rFonts w:ascii="Bookman Old Style" w:eastAsia="Bookman Old Style" w:hAnsi="Bookman Old Style" w:cs="Bookman Old Style"/>
        </w:rPr>
      </w:pPr>
    </w:p>
    <w:p w:rsidR="005D5635" w:rsidRDefault="00BF3A61">
      <w:pPr>
        <w:spacing w:after="0" w:line="240" w:lineRule="auto"/>
        <w:ind w:left="0" w:hanging="2"/>
        <w:jc w:val="both"/>
        <w:rPr>
          <w:rFonts w:ascii="Bookman Old Style" w:eastAsia="Bookman Old Style" w:hAnsi="Bookman Old Style" w:cs="Bookman Old Style"/>
        </w:rPr>
      </w:pPr>
      <w:r>
        <w:rPr>
          <w:rFonts w:ascii="Bookman Old Style" w:eastAsia="Bookman Old Style" w:hAnsi="Bookman Old Style" w:cs="Bookman Old Style"/>
          <w:b/>
        </w:rPr>
        <w:t>Tabla 3</w:t>
      </w:r>
    </w:p>
    <w:p w:rsidR="005D5635" w:rsidRDefault="00BF3A61">
      <w:pPr>
        <w:spacing w:after="0" w:line="240" w:lineRule="auto"/>
        <w:ind w:left="0" w:hanging="2"/>
        <w:jc w:val="both"/>
        <w:rPr>
          <w:rFonts w:ascii="Bookman Old Style" w:eastAsia="Bookman Old Style" w:hAnsi="Bookman Old Style" w:cs="Bookman Old Style"/>
        </w:rPr>
      </w:pPr>
      <w:r>
        <w:rPr>
          <w:rFonts w:ascii="Bookman Old Style" w:eastAsia="Bookman Old Style" w:hAnsi="Bookman Old Style" w:cs="Bookman Old Style"/>
        </w:rPr>
        <w:t xml:space="preserve">Presupuesto de ingresos de la USAC para el financiamiento del </w:t>
      </w:r>
      <w:r>
        <w:rPr>
          <w:rFonts w:ascii="Bookman Old Style" w:eastAsia="Bookman Old Style" w:hAnsi="Bookman Old Style" w:cs="Bookman Old Style"/>
        </w:rPr>
        <w:t>presupuesto ordinario aprobado por el CSU para el 2018</w:t>
      </w:r>
    </w:p>
    <w:p w:rsidR="005D5635" w:rsidRDefault="005D5635">
      <w:pPr>
        <w:spacing w:after="0" w:line="240" w:lineRule="auto"/>
        <w:ind w:left="0" w:hanging="2"/>
        <w:jc w:val="both"/>
        <w:rPr>
          <w:rFonts w:ascii="Bookman Old Style" w:eastAsia="Bookman Old Style" w:hAnsi="Bookman Old Style" w:cs="Bookman Old Style"/>
        </w:rPr>
      </w:pPr>
    </w:p>
    <w:tbl>
      <w:tblPr>
        <w:tblStyle w:val="a1"/>
        <w:tblW w:w="91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94"/>
        <w:gridCol w:w="2435"/>
      </w:tblGrid>
      <w:tr w:rsidR="005D5635">
        <w:trPr>
          <w:trHeight w:val="280"/>
          <w:jc w:val="center"/>
        </w:trPr>
        <w:tc>
          <w:tcPr>
            <w:tcW w:w="6694" w:type="dxa"/>
            <w:tcBorders>
              <w:top w:val="nil"/>
              <w:left w:val="nil"/>
              <w:bottom w:val="nil"/>
              <w:right w:val="nil"/>
            </w:tcBorders>
            <w:shd w:val="clear" w:color="auto" w:fill="B8CCE4"/>
            <w:vAlign w:val="center"/>
          </w:tcPr>
          <w:p w:rsidR="005D5635" w:rsidRDefault="00BF3A61">
            <w:pPr>
              <w:spacing w:line="240" w:lineRule="auto"/>
              <w:ind w:left="0" w:hanging="2"/>
              <w:jc w:val="both"/>
              <w:rPr>
                <w:rFonts w:ascii="Bookman Old Style" w:eastAsia="Bookman Old Style" w:hAnsi="Bookman Old Style" w:cs="Bookman Old Style"/>
              </w:rPr>
            </w:pPr>
            <w:r>
              <w:rPr>
                <w:rFonts w:ascii="Bookman Old Style" w:eastAsia="Bookman Old Style" w:hAnsi="Bookman Old Style" w:cs="Bookman Old Style"/>
                <w:b/>
              </w:rPr>
              <w:t>Presupuesto ordinario aprobado por el CSU</w:t>
            </w:r>
          </w:p>
        </w:tc>
        <w:tc>
          <w:tcPr>
            <w:tcW w:w="2435" w:type="dxa"/>
            <w:tcBorders>
              <w:top w:val="nil"/>
              <w:left w:val="nil"/>
              <w:bottom w:val="nil"/>
              <w:right w:val="nil"/>
            </w:tcBorders>
            <w:shd w:val="clear" w:color="auto" w:fill="B8CCE4"/>
            <w:vAlign w:val="center"/>
          </w:tcPr>
          <w:p w:rsidR="005D5635" w:rsidRDefault="00BF3A61">
            <w:pPr>
              <w:spacing w:line="240" w:lineRule="auto"/>
              <w:ind w:left="0" w:hanging="2"/>
              <w:jc w:val="right"/>
              <w:rPr>
                <w:rFonts w:ascii="Bookman Old Style" w:eastAsia="Bookman Old Style" w:hAnsi="Bookman Old Style" w:cs="Bookman Old Style"/>
              </w:rPr>
            </w:pPr>
            <w:r>
              <w:rPr>
                <w:rFonts w:ascii="Bookman Old Style" w:eastAsia="Bookman Old Style" w:hAnsi="Bookman Old Style" w:cs="Bookman Old Style"/>
                <w:b/>
              </w:rPr>
              <w:t>Q2,200,308,623.00</w:t>
            </w:r>
          </w:p>
        </w:tc>
      </w:tr>
      <w:tr w:rsidR="005D5635">
        <w:trPr>
          <w:trHeight w:val="340"/>
          <w:jc w:val="center"/>
        </w:trPr>
        <w:tc>
          <w:tcPr>
            <w:tcW w:w="6694" w:type="dxa"/>
            <w:tcBorders>
              <w:top w:val="nil"/>
              <w:left w:val="nil"/>
              <w:bottom w:val="nil"/>
              <w:right w:val="nil"/>
            </w:tcBorders>
            <w:shd w:val="clear" w:color="auto" w:fill="DBE5F1"/>
            <w:vAlign w:val="center"/>
          </w:tcPr>
          <w:p w:rsidR="005D5635" w:rsidRDefault="00BF3A61">
            <w:pPr>
              <w:spacing w:line="240" w:lineRule="auto"/>
              <w:ind w:left="0" w:hanging="2"/>
              <w:jc w:val="both"/>
              <w:rPr>
                <w:rFonts w:ascii="Bookman Old Style" w:eastAsia="Bookman Old Style" w:hAnsi="Bookman Old Style" w:cs="Bookman Old Style"/>
              </w:rPr>
            </w:pPr>
            <w:r>
              <w:rPr>
                <w:rFonts w:ascii="Bookman Old Style" w:eastAsia="Bookman Old Style" w:hAnsi="Bookman Old Style" w:cs="Bookman Old Style"/>
                <w:b/>
              </w:rPr>
              <w:t>Financiamiento</w:t>
            </w:r>
          </w:p>
        </w:tc>
        <w:tc>
          <w:tcPr>
            <w:tcW w:w="2435" w:type="dxa"/>
            <w:tcBorders>
              <w:top w:val="nil"/>
              <w:left w:val="nil"/>
              <w:bottom w:val="nil"/>
              <w:right w:val="nil"/>
            </w:tcBorders>
            <w:shd w:val="clear" w:color="auto" w:fill="DBE5F1"/>
            <w:vAlign w:val="center"/>
          </w:tcPr>
          <w:p w:rsidR="005D5635" w:rsidRDefault="005D5635">
            <w:pPr>
              <w:spacing w:line="240" w:lineRule="auto"/>
              <w:ind w:left="0" w:hanging="2"/>
              <w:jc w:val="right"/>
              <w:rPr>
                <w:rFonts w:ascii="Bookman Old Style" w:eastAsia="Bookman Old Style" w:hAnsi="Bookman Old Style" w:cs="Bookman Old Style"/>
              </w:rPr>
            </w:pPr>
          </w:p>
        </w:tc>
      </w:tr>
      <w:tr w:rsidR="005D5635">
        <w:trPr>
          <w:trHeight w:val="280"/>
          <w:jc w:val="center"/>
        </w:trPr>
        <w:tc>
          <w:tcPr>
            <w:tcW w:w="6694" w:type="dxa"/>
            <w:tcBorders>
              <w:top w:val="nil"/>
              <w:left w:val="nil"/>
              <w:bottom w:val="nil"/>
              <w:right w:val="nil"/>
            </w:tcBorders>
            <w:shd w:val="clear" w:color="auto" w:fill="DBE5F1"/>
            <w:vAlign w:val="center"/>
          </w:tcPr>
          <w:p w:rsidR="005D5635" w:rsidRDefault="00BF3A61">
            <w:pPr>
              <w:spacing w:line="240" w:lineRule="auto"/>
              <w:ind w:left="0" w:hanging="2"/>
              <w:jc w:val="both"/>
              <w:rPr>
                <w:rFonts w:ascii="Bookman Old Style" w:eastAsia="Bookman Old Style" w:hAnsi="Bookman Old Style" w:cs="Bookman Old Style"/>
              </w:rPr>
            </w:pPr>
            <w:r>
              <w:rPr>
                <w:rFonts w:ascii="Bookman Old Style" w:eastAsia="Bookman Old Style" w:hAnsi="Bookman Old Style" w:cs="Bookman Old Style"/>
              </w:rPr>
              <w:t>Aporte estatal (incluye aporte ordinario y extraordinario)</w:t>
            </w:r>
          </w:p>
        </w:tc>
        <w:tc>
          <w:tcPr>
            <w:tcW w:w="2435" w:type="dxa"/>
            <w:tcBorders>
              <w:top w:val="nil"/>
              <w:left w:val="nil"/>
              <w:bottom w:val="nil"/>
              <w:right w:val="nil"/>
            </w:tcBorders>
            <w:shd w:val="clear" w:color="auto" w:fill="DBE5F1"/>
            <w:vAlign w:val="center"/>
          </w:tcPr>
          <w:p w:rsidR="005D5635" w:rsidRDefault="00BF3A61">
            <w:pPr>
              <w:spacing w:line="240" w:lineRule="auto"/>
              <w:ind w:left="0" w:hanging="2"/>
              <w:jc w:val="right"/>
              <w:rPr>
                <w:rFonts w:ascii="Bookman Old Style" w:eastAsia="Bookman Old Style" w:hAnsi="Bookman Old Style" w:cs="Bookman Old Style"/>
              </w:rPr>
            </w:pPr>
            <w:r>
              <w:rPr>
                <w:rFonts w:ascii="Bookman Old Style" w:eastAsia="Bookman Old Style" w:hAnsi="Bookman Old Style" w:cs="Bookman Old Style"/>
              </w:rPr>
              <w:t>1,725,872,000.00</w:t>
            </w:r>
          </w:p>
        </w:tc>
      </w:tr>
      <w:tr w:rsidR="005D5635">
        <w:trPr>
          <w:trHeight w:val="680"/>
          <w:jc w:val="center"/>
        </w:trPr>
        <w:tc>
          <w:tcPr>
            <w:tcW w:w="6694" w:type="dxa"/>
            <w:tcBorders>
              <w:top w:val="nil"/>
              <w:left w:val="nil"/>
              <w:bottom w:val="nil"/>
              <w:right w:val="nil"/>
            </w:tcBorders>
            <w:shd w:val="clear" w:color="auto" w:fill="DBE5F1"/>
            <w:vAlign w:val="center"/>
          </w:tcPr>
          <w:p w:rsidR="005D5635" w:rsidRDefault="00BF3A61">
            <w:pPr>
              <w:spacing w:line="240" w:lineRule="auto"/>
              <w:ind w:left="0" w:hanging="2"/>
              <w:jc w:val="both"/>
              <w:rPr>
                <w:rFonts w:ascii="Bookman Old Style" w:eastAsia="Bookman Old Style" w:hAnsi="Bookman Old Style" w:cs="Bookman Old Style"/>
              </w:rPr>
            </w:pPr>
            <w:r>
              <w:rPr>
                <w:rFonts w:ascii="Bookman Old Style" w:eastAsia="Bookman Old Style" w:hAnsi="Bookman Old Style" w:cs="Bookman Old Style"/>
              </w:rPr>
              <w:t>Otros ingresos USAC (rentas, matrícula estudiantil, venta de bienes y prestación de servicios, etc.</w:t>
            </w:r>
          </w:p>
        </w:tc>
        <w:tc>
          <w:tcPr>
            <w:tcW w:w="2435" w:type="dxa"/>
            <w:tcBorders>
              <w:top w:val="nil"/>
              <w:left w:val="nil"/>
              <w:bottom w:val="nil"/>
              <w:right w:val="nil"/>
            </w:tcBorders>
            <w:shd w:val="clear" w:color="auto" w:fill="DBE5F1"/>
            <w:vAlign w:val="center"/>
          </w:tcPr>
          <w:p w:rsidR="005D5635" w:rsidRDefault="005D5635">
            <w:pPr>
              <w:spacing w:line="240" w:lineRule="auto"/>
              <w:ind w:left="0" w:hanging="2"/>
              <w:jc w:val="right"/>
              <w:rPr>
                <w:rFonts w:ascii="Bookman Old Style" w:eastAsia="Bookman Old Style" w:hAnsi="Bookman Old Style" w:cs="Bookman Old Style"/>
              </w:rPr>
            </w:pPr>
          </w:p>
          <w:p w:rsidR="005D5635" w:rsidRDefault="00BF3A61">
            <w:pPr>
              <w:spacing w:line="240" w:lineRule="auto"/>
              <w:ind w:left="0" w:hanging="2"/>
              <w:jc w:val="right"/>
              <w:rPr>
                <w:rFonts w:ascii="Bookman Old Style" w:eastAsia="Bookman Old Style" w:hAnsi="Bookman Old Style" w:cs="Bookman Old Style"/>
              </w:rPr>
            </w:pPr>
            <w:r>
              <w:rPr>
                <w:rFonts w:ascii="Bookman Old Style" w:eastAsia="Bookman Old Style" w:hAnsi="Bookman Old Style" w:cs="Bookman Old Style"/>
              </w:rPr>
              <w:t>69,344,690.00</w:t>
            </w:r>
          </w:p>
        </w:tc>
      </w:tr>
      <w:tr w:rsidR="005D5635">
        <w:trPr>
          <w:trHeight w:val="240"/>
          <w:jc w:val="center"/>
        </w:trPr>
        <w:tc>
          <w:tcPr>
            <w:tcW w:w="6694" w:type="dxa"/>
            <w:tcBorders>
              <w:top w:val="nil"/>
              <w:left w:val="nil"/>
              <w:bottom w:val="single" w:sz="4" w:space="0" w:color="000000"/>
              <w:right w:val="nil"/>
            </w:tcBorders>
            <w:shd w:val="clear" w:color="auto" w:fill="DBE5F1"/>
            <w:vAlign w:val="center"/>
          </w:tcPr>
          <w:p w:rsidR="005D5635" w:rsidRDefault="00BF3A61">
            <w:pPr>
              <w:spacing w:line="240" w:lineRule="auto"/>
              <w:ind w:left="0" w:hanging="2"/>
              <w:jc w:val="both"/>
              <w:rPr>
                <w:rFonts w:ascii="Bookman Old Style" w:eastAsia="Bookman Old Style" w:hAnsi="Bookman Old Style" w:cs="Bookman Old Style"/>
              </w:rPr>
            </w:pPr>
            <w:r>
              <w:rPr>
                <w:rFonts w:ascii="Bookman Old Style" w:eastAsia="Bookman Old Style" w:hAnsi="Bookman Old Style" w:cs="Bookman Old Style"/>
                <w:b/>
              </w:rPr>
              <w:t>Total de ingresos</w:t>
            </w:r>
          </w:p>
        </w:tc>
        <w:tc>
          <w:tcPr>
            <w:tcW w:w="2435" w:type="dxa"/>
            <w:tcBorders>
              <w:top w:val="nil"/>
              <w:left w:val="nil"/>
              <w:bottom w:val="single" w:sz="4" w:space="0" w:color="000000"/>
              <w:right w:val="nil"/>
            </w:tcBorders>
            <w:shd w:val="clear" w:color="auto" w:fill="DBE5F1"/>
            <w:vAlign w:val="center"/>
          </w:tcPr>
          <w:p w:rsidR="005D5635" w:rsidRDefault="00BF3A61">
            <w:pPr>
              <w:spacing w:line="240" w:lineRule="auto"/>
              <w:ind w:left="0" w:hanging="2"/>
              <w:jc w:val="right"/>
              <w:rPr>
                <w:rFonts w:ascii="Bookman Old Style" w:eastAsia="Bookman Old Style" w:hAnsi="Bookman Old Style" w:cs="Bookman Old Style"/>
              </w:rPr>
            </w:pPr>
            <w:r>
              <w:rPr>
                <w:rFonts w:ascii="Bookman Old Style" w:eastAsia="Bookman Old Style" w:hAnsi="Bookman Old Style" w:cs="Bookman Old Style"/>
                <w:b/>
              </w:rPr>
              <w:t>1,795,216,690.00</w:t>
            </w:r>
          </w:p>
        </w:tc>
      </w:tr>
      <w:tr w:rsidR="005D5635">
        <w:trPr>
          <w:trHeight w:val="320"/>
          <w:jc w:val="center"/>
        </w:trPr>
        <w:tc>
          <w:tcPr>
            <w:tcW w:w="6694" w:type="dxa"/>
            <w:tcBorders>
              <w:top w:val="single" w:sz="4" w:space="0" w:color="000000"/>
              <w:left w:val="nil"/>
              <w:bottom w:val="nil"/>
              <w:right w:val="nil"/>
            </w:tcBorders>
            <w:shd w:val="clear" w:color="auto" w:fill="B8CCE4"/>
            <w:vAlign w:val="center"/>
          </w:tcPr>
          <w:p w:rsidR="005D5635" w:rsidRDefault="00BF3A61">
            <w:pPr>
              <w:spacing w:line="240" w:lineRule="auto"/>
              <w:ind w:left="0" w:hanging="2"/>
              <w:jc w:val="both"/>
              <w:rPr>
                <w:rFonts w:ascii="Bookman Old Style" w:eastAsia="Bookman Old Style" w:hAnsi="Bookman Old Style" w:cs="Bookman Old Style"/>
              </w:rPr>
            </w:pPr>
            <w:r>
              <w:rPr>
                <w:rFonts w:ascii="Bookman Old Style" w:eastAsia="Bookman Old Style" w:hAnsi="Bookman Old Style" w:cs="Bookman Old Style"/>
                <w:b/>
              </w:rPr>
              <w:t>Déficit (Presupuesto ordinario – Total de ingresos)</w:t>
            </w:r>
          </w:p>
        </w:tc>
        <w:tc>
          <w:tcPr>
            <w:tcW w:w="2435" w:type="dxa"/>
            <w:tcBorders>
              <w:top w:val="single" w:sz="4" w:space="0" w:color="000000"/>
              <w:left w:val="nil"/>
              <w:bottom w:val="nil"/>
              <w:right w:val="nil"/>
            </w:tcBorders>
            <w:shd w:val="clear" w:color="auto" w:fill="B8CCE4"/>
            <w:vAlign w:val="center"/>
          </w:tcPr>
          <w:p w:rsidR="005D5635" w:rsidRDefault="00BF3A61">
            <w:pPr>
              <w:spacing w:line="240" w:lineRule="auto"/>
              <w:ind w:left="0" w:hanging="2"/>
              <w:jc w:val="right"/>
              <w:rPr>
                <w:rFonts w:ascii="Bookman Old Style" w:eastAsia="Bookman Old Style" w:hAnsi="Bookman Old Style" w:cs="Bookman Old Style"/>
                <w:color w:val="FF0000"/>
              </w:rPr>
            </w:pPr>
            <w:r>
              <w:rPr>
                <w:rFonts w:ascii="Bookman Old Style" w:eastAsia="Bookman Old Style" w:hAnsi="Bookman Old Style" w:cs="Bookman Old Style"/>
                <w:color w:val="FF0000"/>
              </w:rPr>
              <w:t>405,091,933.00</w:t>
            </w:r>
          </w:p>
        </w:tc>
      </w:tr>
      <w:tr w:rsidR="005D5635">
        <w:trPr>
          <w:trHeight w:val="300"/>
          <w:jc w:val="center"/>
        </w:trPr>
        <w:tc>
          <w:tcPr>
            <w:tcW w:w="6694" w:type="dxa"/>
            <w:tcBorders>
              <w:top w:val="nil"/>
              <w:left w:val="nil"/>
              <w:bottom w:val="nil"/>
              <w:right w:val="nil"/>
            </w:tcBorders>
            <w:shd w:val="clear" w:color="auto" w:fill="B8CCE4"/>
            <w:vAlign w:val="center"/>
          </w:tcPr>
          <w:p w:rsidR="005D5635" w:rsidRDefault="00BF3A61">
            <w:pPr>
              <w:spacing w:line="240" w:lineRule="auto"/>
              <w:ind w:left="0" w:hanging="2"/>
              <w:jc w:val="both"/>
              <w:rPr>
                <w:rFonts w:ascii="Bookman Old Style" w:eastAsia="Bookman Old Style" w:hAnsi="Bookman Old Style" w:cs="Bookman Old Style"/>
              </w:rPr>
            </w:pPr>
            <w:r>
              <w:rPr>
                <w:rFonts w:ascii="Bookman Old Style" w:eastAsia="Bookman Old Style" w:hAnsi="Bookman Old Style" w:cs="Bookman Old Style"/>
                <w:b/>
              </w:rPr>
              <w:t>Asignación adicional a las Unidades Ejecutoras</w:t>
            </w:r>
          </w:p>
        </w:tc>
        <w:tc>
          <w:tcPr>
            <w:tcW w:w="2435" w:type="dxa"/>
            <w:tcBorders>
              <w:top w:val="nil"/>
              <w:left w:val="nil"/>
              <w:bottom w:val="nil"/>
              <w:right w:val="nil"/>
            </w:tcBorders>
            <w:shd w:val="clear" w:color="auto" w:fill="B8CCE4"/>
            <w:vAlign w:val="center"/>
          </w:tcPr>
          <w:p w:rsidR="005D5635" w:rsidRDefault="00BF3A61">
            <w:pPr>
              <w:spacing w:line="240" w:lineRule="auto"/>
              <w:ind w:left="0" w:hanging="2"/>
              <w:jc w:val="right"/>
              <w:rPr>
                <w:rFonts w:ascii="Bookman Old Style" w:eastAsia="Bookman Old Style" w:hAnsi="Bookman Old Style" w:cs="Bookman Old Style"/>
                <w:color w:val="FF0000"/>
              </w:rPr>
            </w:pPr>
            <w:r>
              <w:rPr>
                <w:rFonts w:ascii="Bookman Old Style" w:eastAsia="Bookman Old Style" w:hAnsi="Bookman Old Style" w:cs="Bookman Old Style"/>
                <w:color w:val="FF0000"/>
              </w:rPr>
              <w:t>160,000,000.00</w:t>
            </w:r>
          </w:p>
        </w:tc>
      </w:tr>
      <w:tr w:rsidR="005D5635">
        <w:trPr>
          <w:trHeight w:val="300"/>
          <w:jc w:val="center"/>
        </w:trPr>
        <w:tc>
          <w:tcPr>
            <w:tcW w:w="6694" w:type="dxa"/>
            <w:tcBorders>
              <w:top w:val="nil"/>
              <w:left w:val="nil"/>
              <w:bottom w:val="nil"/>
              <w:right w:val="nil"/>
            </w:tcBorders>
            <w:shd w:val="clear" w:color="auto" w:fill="B8CCE4"/>
            <w:vAlign w:val="center"/>
          </w:tcPr>
          <w:p w:rsidR="005D5635" w:rsidRDefault="00BF3A61">
            <w:pPr>
              <w:spacing w:line="240" w:lineRule="auto"/>
              <w:ind w:left="0" w:hanging="2"/>
              <w:jc w:val="both"/>
              <w:rPr>
                <w:rFonts w:ascii="Bookman Old Style" w:eastAsia="Bookman Old Style" w:hAnsi="Bookman Old Style" w:cs="Bookman Old Style"/>
              </w:rPr>
            </w:pPr>
            <w:r>
              <w:rPr>
                <w:rFonts w:ascii="Bookman Old Style" w:eastAsia="Bookman Old Style" w:hAnsi="Bookman Old Style" w:cs="Bookman Old Style"/>
                <w:b/>
              </w:rPr>
              <w:t>Déficit total</w:t>
            </w:r>
          </w:p>
        </w:tc>
        <w:tc>
          <w:tcPr>
            <w:tcW w:w="2435" w:type="dxa"/>
            <w:tcBorders>
              <w:top w:val="nil"/>
              <w:left w:val="nil"/>
              <w:bottom w:val="nil"/>
              <w:right w:val="nil"/>
            </w:tcBorders>
            <w:shd w:val="clear" w:color="auto" w:fill="B8CCE4"/>
            <w:vAlign w:val="center"/>
          </w:tcPr>
          <w:p w:rsidR="005D5635" w:rsidRDefault="00BF3A61">
            <w:pPr>
              <w:spacing w:line="240" w:lineRule="auto"/>
              <w:ind w:left="0" w:hanging="2"/>
              <w:jc w:val="right"/>
              <w:rPr>
                <w:rFonts w:ascii="Bookman Old Style" w:eastAsia="Bookman Old Style" w:hAnsi="Bookman Old Style" w:cs="Bookman Old Style"/>
                <w:color w:val="FF0000"/>
              </w:rPr>
            </w:pPr>
            <w:r>
              <w:rPr>
                <w:rFonts w:ascii="Bookman Old Style" w:eastAsia="Bookman Old Style" w:hAnsi="Bookman Old Style" w:cs="Bookman Old Style"/>
                <w:b/>
                <w:color w:val="FF0000"/>
              </w:rPr>
              <w:t>Q565,091,933.00</w:t>
            </w:r>
          </w:p>
        </w:tc>
      </w:tr>
    </w:tbl>
    <w:p w:rsidR="005D5635" w:rsidRDefault="00BF3A61">
      <w:pPr>
        <w:spacing w:after="0" w:line="240" w:lineRule="auto"/>
        <w:ind w:left="0" w:hanging="2"/>
        <w:jc w:val="both"/>
        <w:rPr>
          <w:rFonts w:ascii="Bookman Old Style" w:eastAsia="Bookman Old Style" w:hAnsi="Bookman Old Style" w:cs="Bookman Old Style"/>
          <w:sz w:val="16"/>
          <w:szCs w:val="16"/>
        </w:rPr>
      </w:pPr>
      <w:r>
        <w:rPr>
          <w:rFonts w:ascii="Bookman Old Style" w:eastAsia="Bookman Old Style" w:hAnsi="Bookman Old Style" w:cs="Bookman Old Style"/>
          <w:i/>
        </w:rPr>
        <w:t xml:space="preserve"> </w:t>
      </w:r>
      <w:r>
        <w:rPr>
          <w:rFonts w:ascii="Bookman Old Style" w:eastAsia="Bookman Old Style" w:hAnsi="Bookman Old Style" w:cs="Bookman Old Style"/>
          <w:i/>
          <w:sz w:val="16"/>
          <w:szCs w:val="16"/>
        </w:rPr>
        <w:t>Fuente: Dirección General Financiera, USAC</w:t>
      </w: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Por otro lado, al desfinanciamiento de Q405,091,933.00 se le debe sumar una proyección de Q160,000,000.00 para el sostenimiento de los servicios </w:t>
      </w:r>
      <w:r>
        <w:rPr>
          <w:rFonts w:ascii="Bookman Old Style" w:eastAsia="Bookman Old Style" w:hAnsi="Bookman Old Style" w:cs="Bookman Old Style"/>
          <w:sz w:val="24"/>
          <w:szCs w:val="24"/>
        </w:rPr>
        <w:lastRenderedPageBreak/>
        <w:t xml:space="preserve">educativos de los Centros Universitarios departamentales, por lo tanto, el déficit presupuestario y financiero </w:t>
      </w:r>
      <w:r>
        <w:rPr>
          <w:rFonts w:ascii="Bookman Old Style" w:eastAsia="Bookman Old Style" w:hAnsi="Bookman Old Style" w:cs="Bookman Old Style"/>
          <w:sz w:val="24"/>
          <w:szCs w:val="24"/>
        </w:rPr>
        <w:t xml:space="preserve">asciende a </w:t>
      </w:r>
      <w:r>
        <w:rPr>
          <w:rFonts w:ascii="Bookman Old Style" w:eastAsia="Bookman Old Style" w:hAnsi="Bookman Old Style" w:cs="Bookman Old Style"/>
          <w:b/>
          <w:sz w:val="24"/>
          <w:szCs w:val="24"/>
        </w:rPr>
        <w:t>Q565,091,933.00</w:t>
      </w:r>
      <w:r>
        <w:rPr>
          <w:rFonts w:ascii="Bookman Old Style" w:eastAsia="Bookman Old Style" w:hAnsi="Bookman Old Style" w:cs="Bookman Old Style"/>
          <w:sz w:val="24"/>
          <w:szCs w:val="24"/>
        </w:rPr>
        <w:t>, cifra que representa el 25.68% del presupuesto ordinario aprobado por el CSU.</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Es preciso mencionar que a la apertura de Q69,3 millones correspondientes a otros ingresos, se le debe sumar Q37,4 millones, esto considerando que a </w:t>
      </w:r>
      <w:r>
        <w:rPr>
          <w:rFonts w:ascii="Bookman Old Style" w:eastAsia="Bookman Old Style" w:hAnsi="Bookman Old Style" w:cs="Bookman Old Style"/>
          <w:sz w:val="24"/>
          <w:szCs w:val="24"/>
        </w:rPr>
        <w:t xml:space="preserve">diciembre del presente año, la proyección total en dicho rubro es de Q106,7 millones. Esta cifra sumada al aporte estatal (Q1.725,2 millones) más la asignación adicional al aporte extraordinario (Q.50,0 millones), da un ingreso total de Q1.882,615,015.20, </w:t>
      </w:r>
      <w:r>
        <w:rPr>
          <w:rFonts w:ascii="Bookman Old Style" w:eastAsia="Bookman Old Style" w:hAnsi="Bookman Old Style" w:cs="Bookman Old Style"/>
          <w:sz w:val="24"/>
          <w:szCs w:val="24"/>
        </w:rPr>
        <w:t>con lo cual, queda un presupuesto desfinanciado por Q317,693,607.00 para el 2018, cifra que representa el 14.4% del presupuesto aprobado por el CSU. (Gráfica 3)</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Cabe resaltar que la asignación adicional de 50 millones al aporte extraordinario, fue aprobad</w:t>
      </w:r>
      <w:r>
        <w:rPr>
          <w:rFonts w:ascii="Bookman Old Style" w:eastAsia="Bookman Old Style" w:hAnsi="Bookman Old Style" w:cs="Bookman Old Style"/>
          <w:sz w:val="24"/>
          <w:szCs w:val="24"/>
        </w:rPr>
        <w:t>a mediante el Acuerdo Gubernativo de Presupuesto número 14-2018, del Ministerio de Finanzas Públicas, esto, como un avance en las gestiones realizadas por la actual administración. Lo cual, coadyuva a mitigar el déficit presupuestario de la Universidad.</w:t>
      </w:r>
    </w:p>
    <w:p w:rsidR="005D5635" w:rsidRDefault="005D5635">
      <w:pPr>
        <w:spacing w:after="0" w:line="360" w:lineRule="auto"/>
        <w:ind w:left="0" w:hanging="2"/>
        <w:jc w:val="both"/>
        <w:rPr>
          <w:rFonts w:ascii="Bookman Old Style" w:eastAsia="Bookman Old Style" w:hAnsi="Bookman Old Style" w:cs="Bookman Old Style"/>
        </w:rPr>
      </w:pPr>
    </w:p>
    <w:p w:rsidR="005D5635" w:rsidRDefault="00BF3A61">
      <w:pPr>
        <w:spacing w:after="0" w:line="360" w:lineRule="auto"/>
        <w:ind w:left="0" w:hanging="2"/>
        <w:jc w:val="both"/>
        <w:rPr>
          <w:rFonts w:ascii="Bookman Old Style" w:eastAsia="Bookman Old Style" w:hAnsi="Bookman Old Style" w:cs="Bookman Old Style"/>
        </w:rPr>
      </w:pPr>
      <w:r>
        <w:rPr>
          <w:rFonts w:ascii="Bookman Old Style" w:eastAsia="Bookman Old Style" w:hAnsi="Bookman Old Style" w:cs="Bookman Old Style"/>
          <w:b/>
        </w:rPr>
        <w:t>G</w:t>
      </w:r>
      <w:r>
        <w:rPr>
          <w:rFonts w:ascii="Bookman Old Style" w:eastAsia="Bookman Old Style" w:hAnsi="Bookman Old Style" w:cs="Bookman Old Style"/>
          <w:b/>
        </w:rPr>
        <w:t>ráfica 3</w:t>
      </w:r>
    </w:p>
    <w:p w:rsidR="005D5635" w:rsidRDefault="00BF3A61">
      <w:pPr>
        <w:spacing w:after="0" w:line="240" w:lineRule="auto"/>
        <w:ind w:left="0" w:hanging="2"/>
        <w:rPr>
          <w:rFonts w:ascii="Bookman Old Style" w:eastAsia="Bookman Old Style" w:hAnsi="Bookman Old Style" w:cs="Bookman Old Style"/>
        </w:rPr>
      </w:pPr>
      <w:r>
        <w:rPr>
          <w:rFonts w:ascii="Bookman Old Style" w:eastAsia="Bookman Old Style" w:hAnsi="Bookman Old Style" w:cs="Bookman Old Style"/>
        </w:rPr>
        <w:t>Situación financiera actual USAC, Ingresos estimados al 31 de diciembre de 2018</w:t>
      </w:r>
    </w:p>
    <w:p w:rsidR="005D5635" w:rsidRDefault="00BF3A61">
      <w:pPr>
        <w:spacing w:after="0" w:line="240" w:lineRule="auto"/>
        <w:ind w:left="0" w:hanging="2"/>
        <w:rPr>
          <w:rFonts w:ascii="Bookman Old Style" w:eastAsia="Bookman Old Style" w:hAnsi="Bookman Old Style" w:cs="Bookman Old Style"/>
        </w:rPr>
      </w:pPr>
      <w:r>
        <w:rPr>
          <w:rFonts w:ascii="Bookman Old Style" w:eastAsia="Bookman Old Style" w:hAnsi="Bookman Old Style" w:cs="Bookman Old Style"/>
          <w:i/>
        </w:rPr>
        <w:t>(En millones de quetzales)</w:t>
      </w:r>
    </w:p>
    <w:p w:rsidR="005D5635" w:rsidRDefault="005D5635">
      <w:pPr>
        <w:spacing w:after="0" w:line="240" w:lineRule="auto"/>
        <w:ind w:left="0" w:hanging="2"/>
        <w:rPr>
          <w:rFonts w:ascii="Bookman Old Style" w:eastAsia="Bookman Old Style" w:hAnsi="Bookman Old Style" w:cs="Bookman Old Style"/>
        </w:rPr>
      </w:pPr>
    </w:p>
    <w:p w:rsidR="005D5635" w:rsidRDefault="00BF3A61">
      <w:pPr>
        <w:ind w:left="0" w:hanging="2"/>
        <w:jc w:val="center"/>
        <w:rPr>
          <w:rFonts w:ascii="Bookman Old Style" w:eastAsia="Bookman Old Style" w:hAnsi="Bookman Old Style" w:cs="Bookman Old Style"/>
          <w:sz w:val="24"/>
          <w:szCs w:val="24"/>
        </w:rPr>
      </w:pPr>
      <w:r>
        <w:rPr>
          <w:rFonts w:ascii="Bookman Old Style" w:eastAsia="Bookman Old Style" w:hAnsi="Bookman Old Style" w:cs="Bookman Old Style"/>
          <w:noProof/>
          <w:sz w:val="24"/>
          <w:szCs w:val="24"/>
        </w:rPr>
        <w:lastRenderedPageBreak/>
        <w:drawing>
          <wp:inline distT="0" distB="0" distL="114300" distR="114300">
            <wp:extent cx="5943600" cy="4176395"/>
            <wp:effectExtent l="0" t="0" r="0" b="0"/>
            <wp:docPr id="10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943600" cy="4176395"/>
                    </a:xfrm>
                    <a:prstGeom prst="rect">
                      <a:avLst/>
                    </a:prstGeom>
                    <a:ln/>
                  </pic:spPr>
                </pic:pic>
              </a:graphicData>
            </a:graphic>
          </wp:inline>
        </w:drawing>
      </w:r>
    </w:p>
    <w:p w:rsidR="005D5635" w:rsidRDefault="00BF3A61">
      <w:pPr>
        <w:spacing w:after="0" w:line="240" w:lineRule="auto"/>
        <w:jc w:val="both"/>
        <w:rPr>
          <w:rFonts w:ascii="Bookman Old Style" w:eastAsia="Bookman Old Style" w:hAnsi="Bookman Old Style" w:cs="Bookman Old Style"/>
          <w:sz w:val="16"/>
          <w:szCs w:val="16"/>
        </w:rPr>
      </w:pPr>
      <w:r>
        <w:rPr>
          <w:rFonts w:ascii="Bookman Old Style" w:eastAsia="Bookman Old Style" w:hAnsi="Bookman Old Style" w:cs="Bookman Old Style"/>
          <w:i/>
          <w:sz w:val="16"/>
          <w:szCs w:val="16"/>
        </w:rPr>
        <w:t xml:space="preserve">  Fuente: Dirección General Financiera, USAC</w:t>
      </w:r>
    </w:p>
    <w:p w:rsidR="005D5635" w:rsidRDefault="005D5635">
      <w:pPr>
        <w:ind w:left="0" w:hanging="2"/>
        <w:rPr>
          <w:rFonts w:ascii="Bookman Old Style" w:eastAsia="Bookman Old Style" w:hAnsi="Bookman Old Style" w:cs="Bookman Old Style"/>
        </w:rPr>
      </w:pPr>
    </w:p>
    <w:p w:rsidR="005D5635" w:rsidRDefault="005D5635">
      <w:pPr>
        <w:ind w:left="0" w:hanging="2"/>
        <w:rPr>
          <w:rFonts w:ascii="Bookman Old Style" w:eastAsia="Bookman Old Style" w:hAnsi="Bookman Old Style" w:cs="Bookman Old Style"/>
        </w:rPr>
      </w:pPr>
    </w:p>
    <w:p w:rsidR="005D5635" w:rsidRDefault="005D5635">
      <w:pPr>
        <w:ind w:left="0" w:hanging="2"/>
        <w:rPr>
          <w:rFonts w:ascii="Bookman Old Style" w:eastAsia="Bookman Old Style" w:hAnsi="Bookman Old Style" w:cs="Bookman Old Style"/>
        </w:rPr>
      </w:pPr>
    </w:p>
    <w:p w:rsidR="005D5635" w:rsidRDefault="005D5635">
      <w:pPr>
        <w:ind w:left="0" w:hanging="2"/>
        <w:rPr>
          <w:rFonts w:ascii="Bookman Old Style" w:eastAsia="Bookman Old Style" w:hAnsi="Bookman Old Style" w:cs="Bookman Old Style"/>
        </w:rPr>
      </w:pPr>
    </w:p>
    <w:p w:rsidR="005D5635" w:rsidRDefault="005D5635">
      <w:pPr>
        <w:ind w:left="0" w:hanging="2"/>
        <w:rPr>
          <w:rFonts w:ascii="Bookman Old Style" w:eastAsia="Bookman Old Style" w:hAnsi="Bookman Old Style" w:cs="Bookman Old Style"/>
        </w:rPr>
      </w:pPr>
    </w:p>
    <w:p w:rsidR="005D5635" w:rsidRDefault="005D5635">
      <w:pPr>
        <w:ind w:left="0" w:hanging="2"/>
        <w:rPr>
          <w:rFonts w:ascii="Bookman Old Style" w:eastAsia="Bookman Old Style" w:hAnsi="Bookman Old Style" w:cs="Bookman Old Style"/>
        </w:rPr>
      </w:pPr>
    </w:p>
    <w:p w:rsidR="005D5635" w:rsidRDefault="005D5635">
      <w:pPr>
        <w:ind w:left="0" w:hanging="2"/>
        <w:rPr>
          <w:rFonts w:ascii="Bookman Old Style" w:eastAsia="Bookman Old Style" w:hAnsi="Bookman Old Style" w:cs="Bookman Old Style"/>
        </w:rPr>
      </w:pPr>
    </w:p>
    <w:p w:rsidR="005D5635" w:rsidRDefault="005D5635">
      <w:pPr>
        <w:ind w:left="0" w:hanging="2"/>
        <w:rPr>
          <w:rFonts w:ascii="Bookman Old Style" w:eastAsia="Bookman Old Style" w:hAnsi="Bookman Old Style" w:cs="Bookman Old Style"/>
        </w:rPr>
      </w:pPr>
    </w:p>
    <w:p w:rsidR="005D5635" w:rsidRDefault="005D5635">
      <w:pPr>
        <w:ind w:left="0" w:hanging="2"/>
        <w:rPr>
          <w:rFonts w:ascii="Bookman Old Style" w:eastAsia="Bookman Old Style" w:hAnsi="Bookman Old Style" w:cs="Bookman Old Style"/>
        </w:rPr>
      </w:pPr>
    </w:p>
    <w:p w:rsidR="005D5635" w:rsidRDefault="005D5635">
      <w:pPr>
        <w:ind w:left="0" w:hanging="2"/>
        <w:rPr>
          <w:rFonts w:ascii="Bookman Old Style" w:eastAsia="Bookman Old Style" w:hAnsi="Bookman Old Style" w:cs="Bookman Old Style"/>
        </w:rPr>
      </w:pPr>
    </w:p>
    <w:p w:rsidR="005D5635" w:rsidRDefault="005D5635">
      <w:pPr>
        <w:ind w:left="0" w:hanging="2"/>
        <w:rPr>
          <w:rFonts w:ascii="Bookman Old Style" w:eastAsia="Bookman Old Style" w:hAnsi="Bookman Old Style" w:cs="Bookman Old Style"/>
        </w:rPr>
      </w:pPr>
    </w:p>
    <w:p w:rsidR="005D5635" w:rsidRDefault="005D5635">
      <w:pPr>
        <w:ind w:left="0" w:hanging="2"/>
        <w:rPr>
          <w:rFonts w:ascii="Bookman Old Style" w:eastAsia="Bookman Old Style" w:hAnsi="Bookman Old Style" w:cs="Bookman Old Style"/>
        </w:rPr>
      </w:pPr>
    </w:p>
    <w:p w:rsidR="005D5635" w:rsidRDefault="00BF3A61">
      <w:pPr>
        <w:ind w:left="0" w:hanging="2"/>
        <w:rPr>
          <w:rFonts w:ascii="Bookman Old Style" w:eastAsia="Bookman Old Style" w:hAnsi="Bookman Old Style" w:cs="Bookman Old Style"/>
        </w:rPr>
      </w:pPr>
      <w:r>
        <w:rPr>
          <w:rFonts w:ascii="Bookman Old Style" w:eastAsia="Bookman Old Style" w:hAnsi="Bookman Old Style" w:cs="Bookman Old Style"/>
          <w:b/>
          <w:i/>
        </w:rPr>
        <w:lastRenderedPageBreak/>
        <w:t>Déficit presupuestario</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Al observar el total de ingresos estimados para el 2018, se puede determinar el presupuesto desfinanciado que tiene la Universidad, situación preocupante, ya que se dejaría pendiente los siguientes pagos:</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240" w:lineRule="auto"/>
        <w:ind w:left="0" w:hanging="2"/>
        <w:rPr>
          <w:rFonts w:ascii="Bookman Old Style" w:eastAsia="Bookman Old Style" w:hAnsi="Bookman Old Style" w:cs="Bookman Old Style"/>
        </w:rPr>
      </w:pPr>
      <w:r>
        <w:rPr>
          <w:rFonts w:ascii="Bookman Old Style" w:eastAsia="Bookman Old Style" w:hAnsi="Bookman Old Style" w:cs="Bookman Old Style"/>
          <w:b/>
        </w:rPr>
        <w:t>Gráfica 4</w:t>
      </w:r>
    </w:p>
    <w:p w:rsidR="005D5635" w:rsidRDefault="00BF3A61">
      <w:pPr>
        <w:spacing w:after="0" w:line="240" w:lineRule="auto"/>
        <w:ind w:left="0" w:hanging="2"/>
        <w:rPr>
          <w:rFonts w:ascii="Bookman Old Style" w:eastAsia="Bookman Old Style" w:hAnsi="Bookman Old Style" w:cs="Bookman Old Style"/>
        </w:rPr>
      </w:pPr>
      <w:r>
        <w:rPr>
          <w:rFonts w:ascii="Bookman Old Style" w:eastAsia="Bookman Old Style" w:hAnsi="Bookman Old Style" w:cs="Bookman Old Style"/>
        </w:rPr>
        <w:t>Rubros pendientes de pago 2018</w:t>
      </w:r>
    </w:p>
    <w:p w:rsidR="005D5635" w:rsidRDefault="00BF3A61">
      <w:pPr>
        <w:spacing w:after="0" w:line="240" w:lineRule="auto"/>
        <w:ind w:left="0" w:hanging="2"/>
        <w:rPr>
          <w:rFonts w:ascii="Bookman Old Style" w:eastAsia="Bookman Old Style" w:hAnsi="Bookman Old Style" w:cs="Bookman Old Style"/>
        </w:rPr>
      </w:pPr>
      <w:r>
        <w:rPr>
          <w:rFonts w:ascii="Bookman Old Style" w:eastAsia="Bookman Old Style" w:hAnsi="Bookman Old Style" w:cs="Bookman Old Style"/>
          <w:i/>
        </w:rPr>
        <w:t>(En millo</w:t>
      </w:r>
      <w:r>
        <w:rPr>
          <w:rFonts w:ascii="Bookman Old Style" w:eastAsia="Bookman Old Style" w:hAnsi="Bookman Old Style" w:cs="Bookman Old Style"/>
          <w:i/>
        </w:rPr>
        <w:t>nes de quetzales)</w:t>
      </w:r>
    </w:p>
    <w:p w:rsidR="005D5635" w:rsidRDefault="005D5635">
      <w:pPr>
        <w:spacing w:after="0" w:line="240" w:lineRule="auto"/>
        <w:ind w:left="0" w:hanging="2"/>
        <w:rPr>
          <w:rFonts w:ascii="Bookman Old Style" w:eastAsia="Bookman Old Style" w:hAnsi="Bookman Old Style" w:cs="Bookman Old Style"/>
        </w:rPr>
      </w:pPr>
    </w:p>
    <w:p w:rsidR="005D5635" w:rsidRDefault="00BF3A61">
      <w:pPr>
        <w:spacing w:after="0" w:line="240" w:lineRule="auto"/>
        <w:ind w:left="0" w:hanging="2"/>
        <w:jc w:val="center"/>
        <w:rPr>
          <w:rFonts w:ascii="Bookman Old Style" w:eastAsia="Bookman Old Style" w:hAnsi="Bookman Old Style" w:cs="Bookman Old Style"/>
        </w:rPr>
      </w:pPr>
      <w:r>
        <w:rPr>
          <w:rFonts w:ascii="Bookman Old Style" w:eastAsia="Bookman Old Style" w:hAnsi="Bookman Old Style" w:cs="Bookman Old Style"/>
          <w:noProof/>
        </w:rPr>
        <w:drawing>
          <wp:inline distT="0" distB="0" distL="114300" distR="114300">
            <wp:extent cx="5760720" cy="3037840"/>
            <wp:effectExtent l="0" t="0" r="0" b="0"/>
            <wp:docPr id="10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760720" cy="3037840"/>
                    </a:xfrm>
                    <a:prstGeom prst="rect">
                      <a:avLst/>
                    </a:prstGeom>
                    <a:ln/>
                  </pic:spPr>
                </pic:pic>
              </a:graphicData>
            </a:graphic>
          </wp:inline>
        </w:drawing>
      </w:r>
    </w:p>
    <w:p w:rsidR="005D5635" w:rsidRDefault="005D5635">
      <w:pPr>
        <w:spacing w:after="0" w:line="240" w:lineRule="auto"/>
        <w:rPr>
          <w:rFonts w:ascii="Bookman Old Style" w:eastAsia="Bookman Old Style" w:hAnsi="Bookman Old Style" w:cs="Bookman Old Style"/>
          <w:sz w:val="16"/>
          <w:szCs w:val="16"/>
        </w:rPr>
      </w:pPr>
    </w:p>
    <w:p w:rsidR="005D5635" w:rsidRDefault="00BF3A61">
      <w:pPr>
        <w:spacing w:after="0" w:line="240" w:lineRule="auto"/>
        <w:rPr>
          <w:rFonts w:ascii="Bookman Old Style" w:eastAsia="Bookman Old Style" w:hAnsi="Bookman Old Style" w:cs="Bookman Old Style"/>
          <w:sz w:val="16"/>
          <w:szCs w:val="16"/>
        </w:rPr>
      </w:pPr>
      <w:r>
        <w:rPr>
          <w:rFonts w:ascii="Bookman Old Style" w:eastAsia="Bookman Old Style" w:hAnsi="Bookman Old Style" w:cs="Bookman Old Style"/>
          <w:i/>
          <w:sz w:val="16"/>
          <w:szCs w:val="16"/>
        </w:rPr>
        <w:t xml:space="preserve">   Fuente: Dirección General Financiera, USAC</w:t>
      </w:r>
    </w:p>
    <w:p w:rsidR="005D5635" w:rsidRDefault="005D5635">
      <w:pPr>
        <w:spacing w:after="0" w:line="240" w:lineRule="auto"/>
        <w:rPr>
          <w:rFonts w:ascii="Bookman Old Style" w:eastAsia="Bookman Old Style" w:hAnsi="Bookman Old Style" w:cs="Bookman Old Style"/>
          <w:sz w:val="16"/>
          <w:szCs w:val="16"/>
        </w:rPr>
      </w:pP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Es necesario mencionar que aún no ha sido posible atender requerimientos adicionales de presupuesto por un valor aproximado de Q83,0 millones, esto, para el sostenimiento de los servicios educativos a las distintas Unidades Ejecutoras, lo cual impide la ge</w:t>
      </w:r>
      <w:r>
        <w:rPr>
          <w:rFonts w:ascii="Bookman Old Style" w:eastAsia="Bookman Old Style" w:hAnsi="Bookman Old Style" w:cs="Bookman Old Style"/>
          <w:sz w:val="24"/>
          <w:szCs w:val="24"/>
        </w:rPr>
        <w:t xml:space="preserve">neración de espacios presupuestarios para suscribir contratos a partir de octubre del año en curso, dicha cifra se destina en su mayoría al pago de docencia. </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Evidentemente la Universidad no podrá cumplir con la totalidad de sus compromisos financieros du</w:t>
      </w:r>
      <w:r>
        <w:rPr>
          <w:rFonts w:ascii="Bookman Old Style" w:eastAsia="Bookman Old Style" w:hAnsi="Bookman Old Style" w:cs="Bookman Old Style"/>
          <w:sz w:val="24"/>
          <w:szCs w:val="24"/>
        </w:rPr>
        <w:t>rante el presente año, al no contar con los recursos necesarios para cubrir los servicios personales; servicios no personales; materiales y suministros; propiedad, planta e intangibles y; transferencias corrientes de las unidades académicas y administrativ</w:t>
      </w:r>
      <w:r>
        <w:rPr>
          <w:rFonts w:ascii="Bookman Old Style" w:eastAsia="Bookman Old Style" w:hAnsi="Bookman Old Style" w:cs="Bookman Old Style"/>
          <w:sz w:val="24"/>
          <w:szCs w:val="24"/>
        </w:rPr>
        <w:t>as, es decir, el pago de salarios y servicios básicos, entre otros, lo cual se traduce a compromisos con fuerzas vivas, mismas que deben satisfacer necesidades personales y familiares, donde la falta de cumplimiento de ellos colaboraría con el incremento d</w:t>
      </w:r>
      <w:r>
        <w:rPr>
          <w:rFonts w:ascii="Bookman Old Style" w:eastAsia="Bookman Old Style" w:hAnsi="Bookman Old Style" w:cs="Bookman Old Style"/>
          <w:sz w:val="24"/>
          <w:szCs w:val="24"/>
        </w:rPr>
        <w:t>el desempleo y la pobreza en el país.</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Proyección para el Presupuesto de la USAC 2019</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Los ingresos tributarios proyectados para el 2019 serán de             Q.65 millardos, siendo así que a la Universidad debiera corresponderle aproximadamente un aporte constitucional de Q3,260.5 millones. De acuerdo con información al 18 de octubre del pre</w:t>
      </w:r>
      <w:r>
        <w:rPr>
          <w:rFonts w:ascii="Bookman Old Style" w:eastAsia="Bookman Old Style" w:hAnsi="Bookman Old Style" w:cs="Bookman Old Style"/>
          <w:sz w:val="24"/>
          <w:szCs w:val="24"/>
        </w:rPr>
        <w:t>sente año, diversos centro de pensamiento vienen presionando a un recorte en los ingresos tributarios de Q2.300 millones, lo que implicaría un monto de ingresos tributarios de Q62.910,5 millones, lo cual reduciría el aporte constitucional para la USAC en Q</w:t>
      </w:r>
      <w:r>
        <w:rPr>
          <w:rFonts w:ascii="Bookman Old Style" w:eastAsia="Bookman Old Style" w:hAnsi="Bookman Old Style" w:cs="Bookman Old Style"/>
          <w:sz w:val="24"/>
          <w:szCs w:val="24"/>
        </w:rPr>
        <w:t>3.145,5 millones. (Tabla 4)</w:t>
      </w: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 </w:t>
      </w: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En este sentido, la comunidad universitaria compenetrada con la necesidad de la modernización del Estado, a partir de abril de 2015, debe estar muy consciente de la situación global de las finanzas públicas y de la política fi</w:t>
      </w:r>
      <w:r>
        <w:rPr>
          <w:rFonts w:ascii="Bookman Old Style" w:eastAsia="Bookman Old Style" w:hAnsi="Bookman Old Style" w:cs="Bookman Old Style"/>
          <w:sz w:val="24"/>
          <w:szCs w:val="24"/>
        </w:rPr>
        <w:t>nanciera y económica en general, para hacer de la política fiscal un instrumento de desarrollo fundamental en el apuntalamiento de la reactivación económica del país, siendo que el gasto debe ir priorizado y con los mejores resultados en términos de su imp</w:t>
      </w:r>
      <w:r>
        <w:rPr>
          <w:rFonts w:ascii="Bookman Old Style" w:eastAsia="Bookman Old Style" w:hAnsi="Bookman Old Style" w:cs="Bookman Old Style"/>
          <w:sz w:val="24"/>
          <w:szCs w:val="24"/>
        </w:rPr>
        <w:t>acto multiplicador.</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widowControl w:val="0"/>
        <w:spacing w:after="0" w:line="240" w:lineRule="auto"/>
        <w:ind w:left="0" w:hanging="2"/>
        <w:jc w:val="both"/>
        <w:rPr>
          <w:rFonts w:ascii="Book Antiqua" w:eastAsia="Book Antiqua" w:hAnsi="Book Antiqua" w:cs="Book Antiqua"/>
        </w:rPr>
      </w:pPr>
      <w:r>
        <w:rPr>
          <w:rFonts w:ascii="Book Antiqua" w:eastAsia="Book Antiqua" w:hAnsi="Book Antiqua" w:cs="Book Antiqua"/>
          <w:b/>
        </w:rPr>
        <w:lastRenderedPageBreak/>
        <w:t>Tabla 4</w:t>
      </w:r>
    </w:p>
    <w:p w:rsidR="005D5635" w:rsidRDefault="00BF3A61">
      <w:pPr>
        <w:widowControl w:val="0"/>
        <w:spacing w:after="0" w:line="240" w:lineRule="auto"/>
        <w:ind w:left="0" w:hanging="2"/>
        <w:jc w:val="both"/>
        <w:rPr>
          <w:rFonts w:ascii="Book Antiqua" w:eastAsia="Book Antiqua" w:hAnsi="Book Antiqua" w:cs="Book Antiqua"/>
        </w:rPr>
      </w:pPr>
      <w:r>
        <w:rPr>
          <w:rFonts w:ascii="Book Antiqua" w:eastAsia="Book Antiqua" w:hAnsi="Book Antiqua" w:cs="Book Antiqua"/>
        </w:rPr>
        <w:t>Proyecto de Presupuesto General de Ingresos del Estado, Ejercicio Fiscal 2019</w:t>
      </w:r>
    </w:p>
    <w:p w:rsidR="005D5635" w:rsidRDefault="00BF3A61">
      <w:pPr>
        <w:widowControl w:val="0"/>
        <w:spacing w:after="0" w:line="240" w:lineRule="auto"/>
        <w:ind w:left="0" w:hanging="2"/>
        <w:jc w:val="both"/>
        <w:rPr>
          <w:rFonts w:ascii="Book Antiqua" w:eastAsia="Book Antiqua" w:hAnsi="Book Antiqua" w:cs="Book Antiqua"/>
        </w:rPr>
      </w:pPr>
      <w:r>
        <w:rPr>
          <w:rFonts w:ascii="Book Antiqua" w:eastAsia="Book Antiqua" w:hAnsi="Book Antiqua" w:cs="Book Antiqua"/>
          <w:i/>
        </w:rPr>
        <w:t>(Valores en millones y porcentajes)</w:t>
      </w:r>
    </w:p>
    <w:tbl>
      <w:tblPr>
        <w:tblStyle w:val="a2"/>
        <w:tblW w:w="8999" w:type="dxa"/>
        <w:tblInd w:w="0" w:type="dxa"/>
        <w:tblLayout w:type="fixed"/>
        <w:tblLook w:val="0000" w:firstRow="0" w:lastRow="0" w:firstColumn="0" w:lastColumn="0" w:noHBand="0" w:noVBand="0"/>
      </w:tblPr>
      <w:tblGrid>
        <w:gridCol w:w="5320"/>
        <w:gridCol w:w="2069"/>
        <w:gridCol w:w="1610"/>
      </w:tblGrid>
      <w:tr w:rsidR="005D5635">
        <w:trPr>
          <w:trHeight w:val="260"/>
        </w:trPr>
        <w:tc>
          <w:tcPr>
            <w:tcW w:w="5320" w:type="dxa"/>
            <w:shd w:val="clear" w:color="auto" w:fill="BDD6EE"/>
          </w:tcPr>
          <w:p w:rsidR="005D5635" w:rsidRDefault="00BF3A61">
            <w:pPr>
              <w:widowControl w:val="0"/>
              <w:ind w:left="0" w:hanging="2"/>
              <w:jc w:val="center"/>
              <w:rPr>
                <w:rFonts w:ascii="Book Antiqua" w:eastAsia="Book Antiqua" w:hAnsi="Book Antiqua" w:cs="Book Antiqua"/>
              </w:rPr>
            </w:pPr>
            <w:r>
              <w:rPr>
                <w:rFonts w:ascii="Book Antiqua" w:eastAsia="Book Antiqua" w:hAnsi="Book Antiqua" w:cs="Book Antiqua"/>
                <w:b/>
              </w:rPr>
              <w:t>Recurso</w:t>
            </w:r>
          </w:p>
        </w:tc>
        <w:tc>
          <w:tcPr>
            <w:tcW w:w="2069" w:type="dxa"/>
            <w:shd w:val="clear" w:color="auto" w:fill="BDD6EE"/>
          </w:tcPr>
          <w:p w:rsidR="005D5635" w:rsidRDefault="00BF3A61">
            <w:pPr>
              <w:widowControl w:val="0"/>
              <w:ind w:left="0" w:hanging="2"/>
              <w:jc w:val="center"/>
              <w:rPr>
                <w:rFonts w:ascii="Book Antiqua" w:eastAsia="Book Antiqua" w:hAnsi="Book Antiqua" w:cs="Book Antiqua"/>
              </w:rPr>
            </w:pPr>
            <w:r>
              <w:rPr>
                <w:rFonts w:ascii="Book Antiqua" w:eastAsia="Book Antiqua" w:hAnsi="Book Antiqua" w:cs="Book Antiqua"/>
                <w:b/>
              </w:rPr>
              <w:t>Monto</w:t>
            </w:r>
          </w:p>
        </w:tc>
        <w:tc>
          <w:tcPr>
            <w:tcW w:w="1610" w:type="dxa"/>
            <w:shd w:val="clear" w:color="auto" w:fill="BDD6EE"/>
          </w:tcPr>
          <w:p w:rsidR="005D5635" w:rsidRDefault="00BF3A61">
            <w:pPr>
              <w:widowControl w:val="0"/>
              <w:ind w:left="0" w:hanging="2"/>
              <w:jc w:val="center"/>
              <w:rPr>
                <w:rFonts w:ascii="Book Antiqua" w:eastAsia="Book Antiqua" w:hAnsi="Book Antiqua" w:cs="Book Antiqua"/>
              </w:rPr>
            </w:pPr>
            <w:r>
              <w:rPr>
                <w:rFonts w:ascii="Book Antiqua" w:eastAsia="Book Antiqua" w:hAnsi="Book Antiqua" w:cs="Book Antiqua"/>
                <w:b/>
              </w:rPr>
              <w:t>(%)</w:t>
            </w:r>
          </w:p>
        </w:tc>
      </w:tr>
      <w:tr w:rsidR="005D5635">
        <w:trPr>
          <w:trHeight w:val="260"/>
        </w:trPr>
        <w:tc>
          <w:tcPr>
            <w:tcW w:w="5320" w:type="dxa"/>
            <w:shd w:val="clear" w:color="auto" w:fill="DEEAF6"/>
          </w:tcPr>
          <w:p w:rsidR="005D5635" w:rsidRDefault="00BF3A61">
            <w:pPr>
              <w:widowControl w:val="0"/>
              <w:ind w:left="0" w:hanging="2"/>
              <w:jc w:val="both"/>
              <w:rPr>
                <w:rFonts w:ascii="Book Antiqua" w:eastAsia="Book Antiqua" w:hAnsi="Book Antiqua" w:cs="Book Antiqua"/>
              </w:rPr>
            </w:pPr>
            <w:r>
              <w:rPr>
                <w:rFonts w:ascii="Book Antiqua" w:eastAsia="Book Antiqua" w:hAnsi="Book Antiqua" w:cs="Book Antiqua"/>
              </w:rPr>
              <w:t>Total</w:t>
            </w:r>
          </w:p>
        </w:tc>
        <w:tc>
          <w:tcPr>
            <w:tcW w:w="2069" w:type="dxa"/>
            <w:shd w:val="clear" w:color="auto" w:fill="DEEAF6"/>
          </w:tcPr>
          <w:p w:rsidR="005D5635" w:rsidRDefault="00BF3A61">
            <w:pPr>
              <w:widowControl w:val="0"/>
              <w:ind w:left="0" w:hanging="2"/>
              <w:jc w:val="right"/>
              <w:rPr>
                <w:rFonts w:ascii="Book Antiqua" w:eastAsia="Book Antiqua" w:hAnsi="Book Antiqua" w:cs="Book Antiqua"/>
              </w:rPr>
            </w:pPr>
            <w:r>
              <w:rPr>
                <w:rFonts w:ascii="Book Antiqua" w:eastAsia="Book Antiqua" w:hAnsi="Book Antiqua" w:cs="Book Antiqua"/>
              </w:rPr>
              <w:t>89,775.1</w:t>
            </w:r>
          </w:p>
        </w:tc>
        <w:tc>
          <w:tcPr>
            <w:tcW w:w="1610" w:type="dxa"/>
            <w:shd w:val="clear" w:color="auto" w:fill="DEEAF6"/>
          </w:tcPr>
          <w:p w:rsidR="005D5635" w:rsidRDefault="00BF3A61">
            <w:pPr>
              <w:widowControl w:val="0"/>
              <w:ind w:left="0" w:hanging="2"/>
              <w:jc w:val="right"/>
              <w:rPr>
                <w:rFonts w:ascii="Book Antiqua" w:eastAsia="Book Antiqua" w:hAnsi="Book Antiqua" w:cs="Book Antiqua"/>
              </w:rPr>
            </w:pPr>
            <w:r>
              <w:rPr>
                <w:rFonts w:ascii="Book Antiqua" w:eastAsia="Book Antiqua" w:hAnsi="Book Antiqua" w:cs="Book Antiqua"/>
              </w:rPr>
              <w:t xml:space="preserve">  100</w:t>
            </w:r>
          </w:p>
        </w:tc>
      </w:tr>
      <w:tr w:rsidR="005D5635">
        <w:trPr>
          <w:trHeight w:val="260"/>
        </w:trPr>
        <w:tc>
          <w:tcPr>
            <w:tcW w:w="5320" w:type="dxa"/>
            <w:shd w:val="clear" w:color="auto" w:fill="DEEAF6"/>
          </w:tcPr>
          <w:p w:rsidR="005D5635" w:rsidRDefault="00BF3A61">
            <w:pPr>
              <w:widowControl w:val="0"/>
              <w:ind w:left="0" w:hanging="2"/>
              <w:jc w:val="both"/>
              <w:rPr>
                <w:rFonts w:ascii="Book Antiqua" w:eastAsia="Book Antiqua" w:hAnsi="Book Antiqua" w:cs="Book Antiqua"/>
              </w:rPr>
            </w:pPr>
            <w:r>
              <w:rPr>
                <w:rFonts w:ascii="Book Antiqua" w:eastAsia="Book Antiqua" w:hAnsi="Book Antiqua" w:cs="Book Antiqua"/>
              </w:rPr>
              <w:t>A. Ingresos Tributarios</w:t>
            </w:r>
          </w:p>
        </w:tc>
        <w:tc>
          <w:tcPr>
            <w:tcW w:w="2069" w:type="dxa"/>
            <w:shd w:val="clear" w:color="auto" w:fill="DEEAF6"/>
          </w:tcPr>
          <w:p w:rsidR="005D5635" w:rsidRDefault="00BF3A61">
            <w:pPr>
              <w:widowControl w:val="0"/>
              <w:ind w:left="0" w:hanging="2"/>
              <w:jc w:val="right"/>
              <w:rPr>
                <w:rFonts w:ascii="Book Antiqua" w:eastAsia="Book Antiqua" w:hAnsi="Book Antiqua" w:cs="Book Antiqua"/>
              </w:rPr>
            </w:pPr>
            <w:r>
              <w:rPr>
                <w:rFonts w:ascii="Book Antiqua" w:eastAsia="Book Antiqua" w:hAnsi="Book Antiqua" w:cs="Book Antiqua"/>
              </w:rPr>
              <w:t>65,210.5</w:t>
            </w:r>
          </w:p>
        </w:tc>
        <w:tc>
          <w:tcPr>
            <w:tcW w:w="1610" w:type="dxa"/>
            <w:shd w:val="clear" w:color="auto" w:fill="DEEAF6"/>
          </w:tcPr>
          <w:p w:rsidR="005D5635" w:rsidRDefault="00BF3A61">
            <w:pPr>
              <w:widowControl w:val="0"/>
              <w:ind w:left="0" w:hanging="2"/>
              <w:jc w:val="right"/>
              <w:rPr>
                <w:rFonts w:ascii="Book Antiqua" w:eastAsia="Book Antiqua" w:hAnsi="Book Antiqua" w:cs="Book Antiqua"/>
              </w:rPr>
            </w:pPr>
            <w:r>
              <w:rPr>
                <w:rFonts w:ascii="Book Antiqua" w:eastAsia="Book Antiqua" w:hAnsi="Book Antiqua" w:cs="Book Antiqua"/>
              </w:rPr>
              <w:t xml:space="preserve">  72.6</w:t>
            </w:r>
          </w:p>
        </w:tc>
      </w:tr>
      <w:tr w:rsidR="005D5635">
        <w:trPr>
          <w:trHeight w:val="260"/>
        </w:trPr>
        <w:tc>
          <w:tcPr>
            <w:tcW w:w="5320" w:type="dxa"/>
            <w:shd w:val="clear" w:color="auto" w:fill="DEEAF6"/>
          </w:tcPr>
          <w:p w:rsidR="005D5635" w:rsidRDefault="00BF3A61">
            <w:pPr>
              <w:widowControl w:val="0"/>
              <w:ind w:left="0" w:hanging="2"/>
              <w:jc w:val="both"/>
              <w:rPr>
                <w:rFonts w:ascii="Book Antiqua" w:eastAsia="Book Antiqua" w:hAnsi="Book Antiqua" w:cs="Book Antiqua"/>
              </w:rPr>
            </w:pPr>
            <w:r>
              <w:rPr>
                <w:rFonts w:ascii="Book Antiqua" w:eastAsia="Book Antiqua" w:hAnsi="Book Antiqua" w:cs="Book Antiqua"/>
              </w:rPr>
              <w:t>B. No Tributarios y de Capital</w:t>
            </w:r>
          </w:p>
        </w:tc>
        <w:tc>
          <w:tcPr>
            <w:tcW w:w="2069" w:type="dxa"/>
            <w:shd w:val="clear" w:color="auto" w:fill="DEEAF6"/>
          </w:tcPr>
          <w:p w:rsidR="005D5635" w:rsidRDefault="00BF3A61">
            <w:pPr>
              <w:widowControl w:val="0"/>
              <w:ind w:left="0" w:hanging="2"/>
              <w:jc w:val="right"/>
              <w:rPr>
                <w:rFonts w:ascii="Book Antiqua" w:eastAsia="Book Antiqua" w:hAnsi="Book Antiqua" w:cs="Book Antiqua"/>
              </w:rPr>
            </w:pPr>
            <w:r>
              <w:rPr>
                <w:rFonts w:ascii="Book Antiqua" w:eastAsia="Book Antiqua" w:hAnsi="Book Antiqua" w:cs="Book Antiqua"/>
              </w:rPr>
              <w:t xml:space="preserve">  3,546.3</w:t>
            </w:r>
          </w:p>
        </w:tc>
        <w:tc>
          <w:tcPr>
            <w:tcW w:w="1610" w:type="dxa"/>
            <w:shd w:val="clear" w:color="auto" w:fill="DEEAF6"/>
          </w:tcPr>
          <w:p w:rsidR="005D5635" w:rsidRDefault="00BF3A61">
            <w:pPr>
              <w:widowControl w:val="0"/>
              <w:ind w:left="0" w:hanging="2"/>
              <w:jc w:val="right"/>
              <w:rPr>
                <w:rFonts w:ascii="Book Antiqua" w:eastAsia="Book Antiqua" w:hAnsi="Book Antiqua" w:cs="Book Antiqua"/>
              </w:rPr>
            </w:pPr>
            <w:r>
              <w:rPr>
                <w:rFonts w:ascii="Book Antiqua" w:eastAsia="Book Antiqua" w:hAnsi="Book Antiqua" w:cs="Book Antiqua"/>
              </w:rPr>
              <w:t xml:space="preserve">    4.0</w:t>
            </w:r>
          </w:p>
        </w:tc>
      </w:tr>
      <w:tr w:rsidR="005D5635">
        <w:trPr>
          <w:trHeight w:val="260"/>
        </w:trPr>
        <w:tc>
          <w:tcPr>
            <w:tcW w:w="5320" w:type="dxa"/>
            <w:shd w:val="clear" w:color="auto" w:fill="DEEAF6"/>
          </w:tcPr>
          <w:p w:rsidR="005D5635" w:rsidRDefault="00BF3A61">
            <w:pPr>
              <w:widowControl w:val="0"/>
              <w:ind w:left="0" w:hanging="2"/>
              <w:jc w:val="both"/>
              <w:rPr>
                <w:rFonts w:ascii="Book Antiqua" w:eastAsia="Book Antiqua" w:hAnsi="Book Antiqua" w:cs="Book Antiqua"/>
              </w:rPr>
            </w:pPr>
            <w:r>
              <w:rPr>
                <w:rFonts w:ascii="Book Antiqua" w:eastAsia="Book Antiqua" w:hAnsi="Book Antiqua" w:cs="Book Antiqua"/>
              </w:rPr>
              <w:t>C. Donaciones</w:t>
            </w:r>
          </w:p>
        </w:tc>
        <w:tc>
          <w:tcPr>
            <w:tcW w:w="2069" w:type="dxa"/>
            <w:shd w:val="clear" w:color="auto" w:fill="DEEAF6"/>
          </w:tcPr>
          <w:p w:rsidR="005D5635" w:rsidRDefault="00BF3A61">
            <w:pPr>
              <w:widowControl w:val="0"/>
              <w:ind w:left="0" w:hanging="2"/>
              <w:jc w:val="right"/>
              <w:rPr>
                <w:rFonts w:ascii="Book Antiqua" w:eastAsia="Book Antiqua" w:hAnsi="Book Antiqua" w:cs="Book Antiqua"/>
              </w:rPr>
            </w:pPr>
            <w:r>
              <w:rPr>
                <w:rFonts w:ascii="Book Antiqua" w:eastAsia="Book Antiqua" w:hAnsi="Book Antiqua" w:cs="Book Antiqua"/>
              </w:rPr>
              <w:t xml:space="preserve">     272.1</w:t>
            </w:r>
          </w:p>
        </w:tc>
        <w:tc>
          <w:tcPr>
            <w:tcW w:w="1610" w:type="dxa"/>
            <w:shd w:val="clear" w:color="auto" w:fill="DEEAF6"/>
          </w:tcPr>
          <w:p w:rsidR="005D5635" w:rsidRDefault="00BF3A61">
            <w:pPr>
              <w:widowControl w:val="0"/>
              <w:ind w:left="0" w:hanging="2"/>
              <w:jc w:val="right"/>
              <w:rPr>
                <w:rFonts w:ascii="Book Antiqua" w:eastAsia="Book Antiqua" w:hAnsi="Book Antiqua" w:cs="Book Antiqua"/>
              </w:rPr>
            </w:pPr>
            <w:r>
              <w:rPr>
                <w:rFonts w:ascii="Book Antiqua" w:eastAsia="Book Antiqua" w:hAnsi="Book Antiqua" w:cs="Book Antiqua"/>
              </w:rPr>
              <w:t xml:space="preserve">    0.3</w:t>
            </w:r>
          </w:p>
        </w:tc>
      </w:tr>
      <w:tr w:rsidR="005D5635">
        <w:trPr>
          <w:trHeight w:val="260"/>
        </w:trPr>
        <w:tc>
          <w:tcPr>
            <w:tcW w:w="5320" w:type="dxa"/>
            <w:shd w:val="clear" w:color="auto" w:fill="DEEAF6"/>
          </w:tcPr>
          <w:p w:rsidR="005D5635" w:rsidRDefault="00BF3A61">
            <w:pPr>
              <w:widowControl w:val="0"/>
              <w:ind w:left="0" w:hanging="2"/>
              <w:jc w:val="both"/>
              <w:rPr>
                <w:rFonts w:ascii="Book Antiqua" w:eastAsia="Book Antiqua" w:hAnsi="Book Antiqua" w:cs="Book Antiqua"/>
              </w:rPr>
            </w:pPr>
            <w:r>
              <w:rPr>
                <w:rFonts w:ascii="Book Antiqua" w:eastAsia="Book Antiqua" w:hAnsi="Book Antiqua" w:cs="Book Antiqua"/>
              </w:rPr>
              <w:t>D. Préstamos Externos</w:t>
            </w:r>
          </w:p>
        </w:tc>
        <w:tc>
          <w:tcPr>
            <w:tcW w:w="2069" w:type="dxa"/>
            <w:shd w:val="clear" w:color="auto" w:fill="DEEAF6"/>
          </w:tcPr>
          <w:p w:rsidR="005D5635" w:rsidRDefault="00BF3A61">
            <w:pPr>
              <w:widowControl w:val="0"/>
              <w:ind w:left="0" w:hanging="2"/>
              <w:jc w:val="right"/>
              <w:rPr>
                <w:rFonts w:ascii="Book Antiqua" w:eastAsia="Book Antiqua" w:hAnsi="Book Antiqua" w:cs="Book Antiqua"/>
              </w:rPr>
            </w:pPr>
            <w:r>
              <w:rPr>
                <w:rFonts w:ascii="Book Antiqua" w:eastAsia="Book Antiqua" w:hAnsi="Book Antiqua" w:cs="Book Antiqua"/>
              </w:rPr>
              <w:t xml:space="preserve">   3,764.1</w:t>
            </w:r>
          </w:p>
        </w:tc>
        <w:tc>
          <w:tcPr>
            <w:tcW w:w="1610" w:type="dxa"/>
            <w:shd w:val="clear" w:color="auto" w:fill="DEEAF6"/>
          </w:tcPr>
          <w:p w:rsidR="005D5635" w:rsidRDefault="00BF3A61">
            <w:pPr>
              <w:widowControl w:val="0"/>
              <w:ind w:left="0" w:hanging="2"/>
              <w:jc w:val="right"/>
              <w:rPr>
                <w:rFonts w:ascii="Book Antiqua" w:eastAsia="Book Antiqua" w:hAnsi="Book Antiqua" w:cs="Book Antiqua"/>
              </w:rPr>
            </w:pPr>
            <w:r>
              <w:rPr>
                <w:rFonts w:ascii="Book Antiqua" w:eastAsia="Book Antiqua" w:hAnsi="Book Antiqua" w:cs="Book Antiqua"/>
              </w:rPr>
              <w:t xml:space="preserve">    4.2</w:t>
            </w:r>
          </w:p>
        </w:tc>
      </w:tr>
      <w:tr w:rsidR="005D5635">
        <w:trPr>
          <w:trHeight w:val="260"/>
        </w:trPr>
        <w:tc>
          <w:tcPr>
            <w:tcW w:w="5320" w:type="dxa"/>
            <w:shd w:val="clear" w:color="auto" w:fill="DEEAF6"/>
          </w:tcPr>
          <w:p w:rsidR="005D5635" w:rsidRDefault="00BF3A61">
            <w:pPr>
              <w:widowControl w:val="0"/>
              <w:ind w:left="0" w:hanging="2"/>
              <w:jc w:val="both"/>
              <w:rPr>
                <w:rFonts w:ascii="Book Antiqua" w:eastAsia="Book Antiqua" w:hAnsi="Book Antiqua" w:cs="Book Antiqua"/>
              </w:rPr>
            </w:pPr>
            <w:r>
              <w:rPr>
                <w:rFonts w:ascii="Book Antiqua" w:eastAsia="Book Antiqua" w:hAnsi="Book Antiqua" w:cs="Book Antiqua"/>
              </w:rPr>
              <w:t>E. Bonos del Tesoro</w:t>
            </w:r>
          </w:p>
        </w:tc>
        <w:tc>
          <w:tcPr>
            <w:tcW w:w="2069" w:type="dxa"/>
            <w:shd w:val="clear" w:color="auto" w:fill="DEEAF6"/>
          </w:tcPr>
          <w:p w:rsidR="005D5635" w:rsidRDefault="00BF3A61">
            <w:pPr>
              <w:widowControl w:val="0"/>
              <w:ind w:left="0" w:hanging="2"/>
              <w:jc w:val="right"/>
              <w:rPr>
                <w:rFonts w:ascii="Book Antiqua" w:eastAsia="Book Antiqua" w:hAnsi="Book Antiqua" w:cs="Book Antiqua"/>
              </w:rPr>
            </w:pPr>
            <w:r>
              <w:rPr>
                <w:rFonts w:ascii="Book Antiqua" w:eastAsia="Book Antiqua" w:hAnsi="Book Antiqua" w:cs="Book Antiqua"/>
              </w:rPr>
              <w:t xml:space="preserve"> 14,207.6</w:t>
            </w:r>
          </w:p>
        </w:tc>
        <w:tc>
          <w:tcPr>
            <w:tcW w:w="1610" w:type="dxa"/>
            <w:shd w:val="clear" w:color="auto" w:fill="DEEAF6"/>
          </w:tcPr>
          <w:p w:rsidR="005D5635" w:rsidRDefault="00BF3A61">
            <w:pPr>
              <w:widowControl w:val="0"/>
              <w:ind w:left="0" w:hanging="2"/>
              <w:jc w:val="right"/>
              <w:rPr>
                <w:rFonts w:ascii="Book Antiqua" w:eastAsia="Book Antiqua" w:hAnsi="Book Antiqua" w:cs="Book Antiqua"/>
              </w:rPr>
            </w:pPr>
            <w:r>
              <w:rPr>
                <w:rFonts w:ascii="Book Antiqua" w:eastAsia="Book Antiqua" w:hAnsi="Book Antiqua" w:cs="Book Antiqua"/>
              </w:rPr>
              <w:t xml:space="preserve">  15.8</w:t>
            </w:r>
          </w:p>
        </w:tc>
      </w:tr>
      <w:tr w:rsidR="005D5635">
        <w:trPr>
          <w:trHeight w:val="260"/>
        </w:trPr>
        <w:tc>
          <w:tcPr>
            <w:tcW w:w="5320" w:type="dxa"/>
            <w:shd w:val="clear" w:color="auto" w:fill="DEEAF6"/>
          </w:tcPr>
          <w:p w:rsidR="005D5635" w:rsidRDefault="00BF3A61">
            <w:pPr>
              <w:widowControl w:val="0"/>
              <w:ind w:left="0" w:hanging="2"/>
              <w:jc w:val="both"/>
              <w:rPr>
                <w:rFonts w:ascii="Book Antiqua" w:eastAsia="Book Antiqua" w:hAnsi="Book Antiqua" w:cs="Book Antiqua"/>
              </w:rPr>
            </w:pPr>
            <w:r>
              <w:rPr>
                <w:rFonts w:ascii="Book Antiqua" w:eastAsia="Book Antiqua" w:hAnsi="Book Antiqua" w:cs="Book Antiqua"/>
              </w:rPr>
              <w:t>F. Variaciones Caja y Bancos</w:t>
            </w:r>
          </w:p>
        </w:tc>
        <w:tc>
          <w:tcPr>
            <w:tcW w:w="2069" w:type="dxa"/>
            <w:shd w:val="clear" w:color="auto" w:fill="DEEAF6"/>
          </w:tcPr>
          <w:p w:rsidR="005D5635" w:rsidRDefault="00BF3A61">
            <w:pPr>
              <w:widowControl w:val="0"/>
              <w:ind w:left="0" w:hanging="2"/>
              <w:jc w:val="right"/>
              <w:rPr>
                <w:rFonts w:ascii="Book Antiqua" w:eastAsia="Book Antiqua" w:hAnsi="Book Antiqua" w:cs="Book Antiqua"/>
              </w:rPr>
            </w:pPr>
            <w:r>
              <w:rPr>
                <w:rFonts w:ascii="Book Antiqua" w:eastAsia="Book Antiqua" w:hAnsi="Book Antiqua" w:cs="Book Antiqua"/>
              </w:rPr>
              <w:t xml:space="preserve">   2,774.4</w:t>
            </w:r>
          </w:p>
        </w:tc>
        <w:tc>
          <w:tcPr>
            <w:tcW w:w="1610" w:type="dxa"/>
            <w:shd w:val="clear" w:color="auto" w:fill="DEEAF6"/>
          </w:tcPr>
          <w:p w:rsidR="005D5635" w:rsidRDefault="00BF3A61">
            <w:pPr>
              <w:widowControl w:val="0"/>
              <w:ind w:left="0" w:hanging="2"/>
              <w:jc w:val="right"/>
              <w:rPr>
                <w:rFonts w:ascii="Book Antiqua" w:eastAsia="Book Antiqua" w:hAnsi="Book Antiqua" w:cs="Book Antiqua"/>
              </w:rPr>
            </w:pPr>
            <w:r>
              <w:rPr>
                <w:rFonts w:ascii="Book Antiqua" w:eastAsia="Book Antiqua" w:hAnsi="Book Antiqua" w:cs="Book Antiqua"/>
              </w:rPr>
              <w:t xml:space="preserve">    3.1</w:t>
            </w:r>
          </w:p>
        </w:tc>
      </w:tr>
    </w:tbl>
    <w:p w:rsidR="005D5635" w:rsidRDefault="00BF3A61">
      <w:pPr>
        <w:widowControl w:val="0"/>
        <w:spacing w:after="0" w:line="240" w:lineRule="auto"/>
        <w:jc w:val="both"/>
        <w:rPr>
          <w:rFonts w:ascii="Book Antiqua" w:eastAsia="Book Antiqua" w:hAnsi="Book Antiqua" w:cs="Book Antiqua"/>
          <w:sz w:val="16"/>
          <w:szCs w:val="16"/>
        </w:rPr>
      </w:pPr>
      <w:r>
        <w:rPr>
          <w:rFonts w:ascii="Book Antiqua" w:eastAsia="Book Antiqua" w:hAnsi="Book Antiqua" w:cs="Book Antiqua"/>
          <w:i/>
          <w:sz w:val="16"/>
          <w:szCs w:val="16"/>
        </w:rPr>
        <w:t xml:space="preserve">  Fuente: Sicoin</w:t>
      </w:r>
    </w:p>
    <w:p w:rsidR="005D5635" w:rsidRDefault="005D5635">
      <w:pPr>
        <w:spacing w:after="0" w:line="360" w:lineRule="auto"/>
        <w:ind w:left="0" w:hanging="2"/>
        <w:jc w:val="both"/>
        <w:rPr>
          <w:rFonts w:ascii="Book Antiqua" w:eastAsia="Book Antiqua" w:hAnsi="Book Antiqua" w:cs="Book Antiqua"/>
          <w:sz w:val="24"/>
          <w:szCs w:val="24"/>
        </w:rPr>
      </w:pPr>
    </w:p>
    <w:p w:rsidR="005D5635" w:rsidRDefault="005D5635">
      <w:pPr>
        <w:pBdr>
          <w:top w:val="nil"/>
          <w:left w:val="nil"/>
          <w:bottom w:val="nil"/>
          <w:right w:val="nil"/>
          <w:between w:val="nil"/>
        </w:pBdr>
        <w:spacing w:after="0" w:line="360" w:lineRule="auto"/>
        <w:ind w:left="0" w:hanging="2"/>
        <w:jc w:val="both"/>
        <w:rPr>
          <w:rFonts w:ascii="Book Antiqua" w:eastAsia="Book Antiqua" w:hAnsi="Book Antiqua" w:cs="Book Antiqua"/>
          <w:color w:val="000000"/>
          <w:sz w:val="24"/>
          <w:szCs w:val="24"/>
        </w:rPr>
      </w:pPr>
    </w:p>
    <w:p w:rsidR="005D5635" w:rsidRDefault="00BF3A61">
      <w:p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USAC: ¿Qué hacer a finales de 2018 y en 2019?</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La actual crisis financiera de la Universidad de San Carlos amerita cuanto antes diversas propuestas de solución, en el marco de un sentido inicial de ajuste y contención de gastos, para luego pasar a reformas</w:t>
      </w:r>
      <w:r>
        <w:rPr>
          <w:rFonts w:ascii="Bookman Old Style" w:eastAsia="Bookman Old Style" w:hAnsi="Bookman Old Style" w:cs="Bookman Old Style"/>
          <w:sz w:val="24"/>
          <w:szCs w:val="24"/>
        </w:rPr>
        <w:t xml:space="preserve"> vinculadas con la ansiada Reforma Universitaria. Dicha Reforma que impulsa la actual Rectoría, en forma conjunta con el Honorable Consejo Superior Universitario, deben tener una holgura y recomposición de ingresos para hacerle frente a un tema que resulta</w:t>
      </w:r>
      <w:r>
        <w:rPr>
          <w:rFonts w:ascii="Bookman Old Style" w:eastAsia="Bookman Old Style" w:hAnsi="Bookman Old Style" w:cs="Bookman Old Style"/>
          <w:sz w:val="24"/>
          <w:szCs w:val="24"/>
        </w:rPr>
        <w:t xml:space="preserve"> ser inminente para los países latinoamericanos: la cuarta revolución industrial.</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En esta línea de trabajo, se debe actuar por dos vías: a) la vía política y de reclamo judicial en base a la Constitución; b) la vía intermedia de modernización administrati</w:t>
      </w:r>
      <w:r>
        <w:rPr>
          <w:rFonts w:ascii="Bookman Old Style" w:eastAsia="Bookman Old Style" w:hAnsi="Bookman Old Style" w:cs="Bookman Old Style"/>
          <w:sz w:val="24"/>
          <w:szCs w:val="24"/>
        </w:rPr>
        <w:t>va, al más claro sentido de la modernización del Estado.</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Dicha opción plantea diversos esfuerzos, muy ligados con el plano de la Reforma Universitaria y de la Reforma del Estado, siendo estos los siguientes:</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240" w:lineRule="auto"/>
        <w:ind w:left="0" w:hanging="2"/>
        <w:jc w:val="both"/>
        <w:rPr>
          <w:rFonts w:ascii="Bookman Old Style" w:eastAsia="Bookman Old Style" w:hAnsi="Bookman Old Style" w:cs="Bookman Old Style"/>
        </w:rPr>
      </w:pPr>
      <w:r>
        <w:rPr>
          <w:rFonts w:ascii="Bookman Old Style" w:eastAsia="Bookman Old Style" w:hAnsi="Bookman Old Style" w:cs="Bookman Old Style"/>
          <w:b/>
        </w:rPr>
        <w:t>Tabla 5</w:t>
      </w:r>
    </w:p>
    <w:p w:rsidR="005D5635" w:rsidRDefault="00BF3A61">
      <w:pPr>
        <w:spacing w:after="0" w:line="240" w:lineRule="auto"/>
        <w:ind w:left="0" w:hanging="2"/>
        <w:jc w:val="both"/>
        <w:rPr>
          <w:rFonts w:ascii="Bookman Old Style" w:eastAsia="Bookman Old Style" w:hAnsi="Bookman Old Style" w:cs="Bookman Old Style"/>
        </w:rPr>
      </w:pPr>
      <w:r>
        <w:rPr>
          <w:rFonts w:ascii="Bookman Old Style" w:eastAsia="Bookman Old Style" w:hAnsi="Bookman Old Style" w:cs="Bookman Old Style"/>
        </w:rPr>
        <w:t>Esfuerzos para el mediano plazo</w:t>
      </w:r>
    </w:p>
    <w:tbl>
      <w:tblPr>
        <w:tblStyle w:val="a3"/>
        <w:tblW w:w="8978" w:type="dxa"/>
        <w:tblInd w:w="0" w:type="dxa"/>
        <w:tblLayout w:type="fixed"/>
        <w:tblLook w:val="0000" w:firstRow="0" w:lastRow="0" w:firstColumn="0" w:lastColumn="0" w:noHBand="0" w:noVBand="0"/>
      </w:tblPr>
      <w:tblGrid>
        <w:gridCol w:w="8978"/>
      </w:tblGrid>
      <w:tr w:rsidR="005D5635">
        <w:tc>
          <w:tcPr>
            <w:tcW w:w="8978" w:type="dxa"/>
            <w:shd w:val="clear" w:color="auto" w:fill="BDD6EE"/>
          </w:tcPr>
          <w:p w:rsidR="005D5635" w:rsidRDefault="00BF3A61">
            <w:pPr>
              <w:spacing w:line="240" w:lineRule="auto"/>
              <w:ind w:left="0" w:hanging="2"/>
              <w:jc w:val="both"/>
              <w:rPr>
                <w:rFonts w:ascii="Bookman Old Style" w:eastAsia="Bookman Old Style" w:hAnsi="Bookman Old Style" w:cs="Bookman Old Style"/>
              </w:rPr>
            </w:pPr>
            <w:r>
              <w:rPr>
                <w:rFonts w:ascii="Bookman Old Style" w:eastAsia="Bookman Old Style" w:hAnsi="Bookman Old Style" w:cs="Bookman Old Style"/>
              </w:rPr>
              <w:t>Modernización de la carrera docente y administrativa.</w:t>
            </w:r>
          </w:p>
        </w:tc>
      </w:tr>
      <w:tr w:rsidR="005D5635">
        <w:tc>
          <w:tcPr>
            <w:tcW w:w="8978" w:type="dxa"/>
            <w:shd w:val="clear" w:color="auto" w:fill="DEEAF6"/>
          </w:tcPr>
          <w:p w:rsidR="005D5635" w:rsidRDefault="00BF3A61">
            <w:pPr>
              <w:spacing w:line="240" w:lineRule="auto"/>
              <w:ind w:left="0" w:hanging="2"/>
              <w:jc w:val="both"/>
              <w:rPr>
                <w:rFonts w:ascii="Bookman Old Style" w:eastAsia="Bookman Old Style" w:hAnsi="Bookman Old Style" w:cs="Bookman Old Style"/>
              </w:rPr>
            </w:pPr>
            <w:r>
              <w:rPr>
                <w:rFonts w:ascii="Bookman Old Style" w:eastAsia="Bookman Old Style" w:hAnsi="Bookman Old Style" w:cs="Bookman Old Style"/>
              </w:rPr>
              <w:t>Centralización normativa financiera y descentralización operativa, con un presupuesto consolidado anual, en correspondencia al Plan Operativo Anual, y la estrategia de l</w:t>
            </w:r>
            <w:r>
              <w:rPr>
                <w:rFonts w:ascii="Bookman Old Style" w:eastAsia="Bookman Old Style" w:hAnsi="Bookman Old Style" w:cs="Bookman Old Style"/>
              </w:rPr>
              <w:t>argo plazo de la Universidad.</w:t>
            </w:r>
          </w:p>
        </w:tc>
      </w:tr>
      <w:tr w:rsidR="005D5635">
        <w:tc>
          <w:tcPr>
            <w:tcW w:w="8978" w:type="dxa"/>
            <w:shd w:val="clear" w:color="auto" w:fill="BDD6EE"/>
          </w:tcPr>
          <w:p w:rsidR="005D5635" w:rsidRDefault="00BF3A61">
            <w:pPr>
              <w:spacing w:line="240" w:lineRule="auto"/>
              <w:ind w:left="0" w:hanging="2"/>
              <w:jc w:val="both"/>
              <w:rPr>
                <w:rFonts w:ascii="Bookman Old Style" w:eastAsia="Bookman Old Style" w:hAnsi="Bookman Old Style" w:cs="Bookman Old Style"/>
              </w:rPr>
            </w:pPr>
            <w:r>
              <w:rPr>
                <w:rFonts w:ascii="Bookman Old Style" w:eastAsia="Bookman Old Style" w:hAnsi="Bookman Old Style" w:cs="Bookman Old Style"/>
              </w:rPr>
              <w:t>Planteamiento de los planes anuales de compras –PAC-.</w:t>
            </w:r>
          </w:p>
        </w:tc>
      </w:tr>
      <w:tr w:rsidR="005D5635">
        <w:tc>
          <w:tcPr>
            <w:tcW w:w="8978" w:type="dxa"/>
            <w:shd w:val="clear" w:color="auto" w:fill="DEEAF6"/>
          </w:tcPr>
          <w:p w:rsidR="005D5635" w:rsidRDefault="00BF3A61">
            <w:pPr>
              <w:spacing w:line="240" w:lineRule="auto"/>
              <w:ind w:left="0" w:hanging="2"/>
              <w:jc w:val="both"/>
              <w:rPr>
                <w:rFonts w:ascii="Bookman Old Style" w:eastAsia="Bookman Old Style" w:hAnsi="Bookman Old Style" w:cs="Bookman Old Style"/>
              </w:rPr>
            </w:pPr>
            <w:r>
              <w:rPr>
                <w:rFonts w:ascii="Bookman Old Style" w:eastAsia="Bookman Old Style" w:hAnsi="Bookman Old Style" w:cs="Bookman Old Style"/>
              </w:rPr>
              <w:t xml:space="preserve">Consolidación de un modelo de corrección presupuestaria a tiempo, en base a la ejecución interna y a la situación de los ingresos ordinarios del Estado, en su versión de </w:t>
            </w:r>
            <w:r>
              <w:rPr>
                <w:rFonts w:ascii="Bookman Old Style" w:eastAsia="Bookman Old Style" w:hAnsi="Bookman Old Style" w:cs="Bookman Old Style"/>
              </w:rPr>
              <w:t>“ingresos ejecutados”, y no “ingresos estimados en el presupuesto”.</w:t>
            </w:r>
          </w:p>
        </w:tc>
      </w:tr>
      <w:tr w:rsidR="005D5635">
        <w:tc>
          <w:tcPr>
            <w:tcW w:w="8978" w:type="dxa"/>
            <w:shd w:val="clear" w:color="auto" w:fill="BDD6EE"/>
          </w:tcPr>
          <w:p w:rsidR="005D5635" w:rsidRDefault="00BF3A61">
            <w:pPr>
              <w:spacing w:line="240" w:lineRule="auto"/>
              <w:ind w:left="0" w:hanging="2"/>
              <w:jc w:val="both"/>
              <w:rPr>
                <w:rFonts w:ascii="Bookman Old Style" w:eastAsia="Bookman Old Style" w:hAnsi="Bookman Old Style" w:cs="Bookman Old Style"/>
              </w:rPr>
            </w:pPr>
            <w:r>
              <w:rPr>
                <w:rFonts w:ascii="Bookman Old Style" w:eastAsia="Bookman Old Style" w:hAnsi="Bookman Old Style" w:cs="Bookman Old Style"/>
              </w:rPr>
              <w:t>Consolidación de un enfoque de democratización del presupuesto interno de la USAC, bajo el estilo de los ejercicios que se vienen haciendo actualmente para solventar la crisis.</w:t>
            </w:r>
          </w:p>
        </w:tc>
      </w:tr>
      <w:tr w:rsidR="005D5635">
        <w:tc>
          <w:tcPr>
            <w:tcW w:w="8978" w:type="dxa"/>
            <w:shd w:val="clear" w:color="auto" w:fill="DEEAF6"/>
          </w:tcPr>
          <w:p w:rsidR="005D5635" w:rsidRDefault="00BF3A61">
            <w:pPr>
              <w:spacing w:line="240" w:lineRule="auto"/>
              <w:ind w:left="0" w:hanging="2"/>
              <w:jc w:val="both"/>
              <w:rPr>
                <w:rFonts w:ascii="Bookman Old Style" w:eastAsia="Bookman Old Style" w:hAnsi="Bookman Old Style" w:cs="Bookman Old Style"/>
              </w:rPr>
            </w:pPr>
            <w:r>
              <w:rPr>
                <w:rFonts w:ascii="Bookman Old Style" w:eastAsia="Bookman Old Style" w:hAnsi="Bookman Old Style" w:cs="Bookman Old Style"/>
              </w:rPr>
              <w:t>Consolida</w:t>
            </w:r>
            <w:r>
              <w:rPr>
                <w:rFonts w:ascii="Bookman Old Style" w:eastAsia="Bookman Old Style" w:hAnsi="Bookman Old Style" w:cs="Bookman Old Style"/>
              </w:rPr>
              <w:t>ción de un modelo de planificación financiera, que plantea correctivos trimestrales en base a la ejecución, con sus indicadores de monitoreo.</w:t>
            </w:r>
          </w:p>
        </w:tc>
      </w:tr>
      <w:tr w:rsidR="005D5635">
        <w:tc>
          <w:tcPr>
            <w:tcW w:w="8978" w:type="dxa"/>
            <w:shd w:val="clear" w:color="auto" w:fill="BDD6EE"/>
          </w:tcPr>
          <w:p w:rsidR="005D5635" w:rsidRDefault="00BF3A61">
            <w:pPr>
              <w:spacing w:line="240" w:lineRule="auto"/>
              <w:ind w:left="0" w:hanging="2"/>
              <w:jc w:val="both"/>
              <w:rPr>
                <w:rFonts w:ascii="Bookman Old Style" w:eastAsia="Bookman Old Style" w:hAnsi="Bookman Old Style" w:cs="Bookman Old Style"/>
              </w:rPr>
            </w:pPr>
            <w:r>
              <w:rPr>
                <w:rFonts w:ascii="Bookman Old Style" w:eastAsia="Bookman Old Style" w:hAnsi="Bookman Old Style" w:cs="Bookman Old Style"/>
              </w:rPr>
              <w:t>Concatenación de la contabilidad integrada con el presupuesto, las compras y la tesorería.</w:t>
            </w:r>
          </w:p>
        </w:tc>
      </w:tr>
      <w:tr w:rsidR="005D5635">
        <w:tc>
          <w:tcPr>
            <w:tcW w:w="8978" w:type="dxa"/>
            <w:shd w:val="clear" w:color="auto" w:fill="DEEAF6"/>
          </w:tcPr>
          <w:p w:rsidR="005D5635" w:rsidRDefault="00BF3A61">
            <w:pPr>
              <w:spacing w:line="240" w:lineRule="auto"/>
              <w:ind w:left="0" w:hanging="2"/>
              <w:jc w:val="both"/>
              <w:rPr>
                <w:rFonts w:ascii="Bookman Old Style" w:eastAsia="Bookman Old Style" w:hAnsi="Bookman Old Style" w:cs="Bookman Old Style"/>
              </w:rPr>
            </w:pPr>
            <w:r>
              <w:rPr>
                <w:rFonts w:ascii="Bookman Old Style" w:eastAsia="Bookman Old Style" w:hAnsi="Bookman Old Style" w:cs="Bookman Old Style"/>
              </w:rPr>
              <w:t>Planteamiento de un s</w:t>
            </w:r>
            <w:r>
              <w:rPr>
                <w:rFonts w:ascii="Bookman Old Style" w:eastAsia="Bookman Old Style" w:hAnsi="Bookman Old Style" w:cs="Bookman Old Style"/>
              </w:rPr>
              <w:t>ubsistema de inversión pública e infraestructura que debe tomar impulso a partir de ejercer presión para la aprobación del programa parcialmente financiado con recursos internos BCIE/Infraestructura, por un monto de US$ 120 millones.</w:t>
            </w:r>
          </w:p>
        </w:tc>
      </w:tr>
    </w:tbl>
    <w:p w:rsidR="005D5635" w:rsidRDefault="005D5635">
      <w:pPr>
        <w:spacing w:line="360" w:lineRule="auto"/>
        <w:ind w:left="0" w:hanging="2"/>
        <w:jc w:val="both"/>
        <w:rPr>
          <w:rFonts w:ascii="Book Antiqua" w:eastAsia="Book Antiqua" w:hAnsi="Book Antiqua" w:cs="Book Antiqua"/>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Principales desafíos internos</w:t>
      </w:r>
    </w:p>
    <w:p w:rsidR="005D5635" w:rsidRDefault="005D5635">
      <w:pPr>
        <w:spacing w:after="0" w:line="360" w:lineRule="auto"/>
        <w:ind w:left="0" w:hanging="2"/>
        <w:rPr>
          <w:rFonts w:ascii="Bookman Old Style" w:eastAsia="Bookman Old Style" w:hAnsi="Bookman Old Style" w:cs="Bookman Old Style"/>
          <w:sz w:val="24"/>
          <w:szCs w:val="24"/>
        </w:rPr>
      </w:pPr>
    </w:p>
    <w:p w:rsidR="005D5635" w:rsidRDefault="00BF3A61">
      <w:pPr>
        <w:pBdr>
          <w:top w:val="nil"/>
          <w:left w:val="nil"/>
          <w:bottom w:val="nil"/>
          <w:right w:val="nil"/>
          <w:between w:val="nil"/>
        </w:pBdr>
        <w:spacing w:after="0" w:line="360" w:lineRule="auto"/>
        <w:ind w:left="0" w:hanging="2"/>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Hacer efectiva la planificación estratégica y operativa</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Cada mes de septiembre, la USAC realiza la proyección presupuestaria para el siguiente año fiscal. Cada unidad ejecutora proyecta su presupuesto conforme al monto del a</w:t>
      </w:r>
      <w:r>
        <w:rPr>
          <w:rFonts w:ascii="Bookman Old Style" w:eastAsia="Bookman Old Style" w:hAnsi="Bookman Old Style" w:cs="Bookman Old Style"/>
          <w:sz w:val="24"/>
          <w:szCs w:val="24"/>
        </w:rPr>
        <w:t>ño fiscal en curso, lo que tiende a generar un déficit presupuestario con la contratación de personal, actividades académicas, prestación de servicios, gastos administrativos entre otros, al excederse en el año fiscal siguiente.</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Nuestra propuesta es adapt</w:t>
      </w:r>
      <w:r>
        <w:rPr>
          <w:rFonts w:ascii="Bookman Old Style" w:eastAsia="Bookman Old Style" w:hAnsi="Bookman Old Style" w:cs="Bookman Old Style"/>
          <w:sz w:val="24"/>
          <w:szCs w:val="24"/>
        </w:rPr>
        <w:t>arse al ciclo presupuestario acorde con las buenas prácticas internacionales, que consisten en:</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240" w:lineRule="auto"/>
        <w:ind w:left="0" w:hanging="2"/>
        <w:rPr>
          <w:rFonts w:ascii="Bookman Old Style" w:eastAsia="Bookman Old Style" w:hAnsi="Bookman Old Style" w:cs="Bookman Old Style"/>
        </w:rPr>
      </w:pPr>
      <w:r>
        <w:rPr>
          <w:rFonts w:ascii="Bookman Old Style" w:eastAsia="Bookman Old Style" w:hAnsi="Bookman Old Style" w:cs="Bookman Old Style"/>
          <w:b/>
        </w:rPr>
        <w:t xml:space="preserve">Tabla </w:t>
      </w:r>
    </w:p>
    <w:p w:rsidR="005D5635" w:rsidRDefault="00BF3A61">
      <w:pPr>
        <w:spacing w:after="0" w:line="240" w:lineRule="auto"/>
        <w:ind w:left="0" w:hanging="2"/>
        <w:rPr>
          <w:rFonts w:ascii="Bookman Old Style" w:eastAsia="Bookman Old Style" w:hAnsi="Bookman Old Style" w:cs="Bookman Old Style"/>
        </w:rPr>
      </w:pPr>
      <w:r>
        <w:rPr>
          <w:rFonts w:ascii="Bookman Old Style" w:eastAsia="Bookman Old Style" w:hAnsi="Bookman Old Style" w:cs="Bookman Old Style"/>
        </w:rPr>
        <w:t>Propuesta para una efectiva planificación estratégica y operativa</w:t>
      </w:r>
    </w:p>
    <w:p w:rsidR="005D5635" w:rsidRDefault="005D5635">
      <w:pPr>
        <w:spacing w:after="0" w:line="240" w:lineRule="auto"/>
        <w:ind w:left="0" w:hanging="2"/>
        <w:rPr>
          <w:rFonts w:ascii="Bookman Old Style" w:eastAsia="Bookman Old Style" w:hAnsi="Bookman Old Style" w:cs="Bookman Old Style"/>
        </w:rPr>
      </w:pPr>
    </w:p>
    <w:tbl>
      <w:tblPr>
        <w:tblStyle w:val="a4"/>
        <w:tblW w:w="9066" w:type="dxa"/>
        <w:jc w:val="center"/>
        <w:tblInd w:w="0" w:type="dxa"/>
        <w:tblLayout w:type="fixed"/>
        <w:tblLook w:val="0000" w:firstRow="0" w:lastRow="0" w:firstColumn="0" w:lastColumn="0" w:noHBand="0" w:noVBand="0"/>
      </w:tblPr>
      <w:tblGrid>
        <w:gridCol w:w="9066"/>
      </w:tblGrid>
      <w:tr w:rsidR="005D5635">
        <w:trPr>
          <w:trHeight w:val="800"/>
          <w:jc w:val="center"/>
        </w:trPr>
        <w:tc>
          <w:tcPr>
            <w:tcW w:w="9066" w:type="dxa"/>
            <w:shd w:val="clear" w:color="auto" w:fill="BDD6EE"/>
          </w:tcPr>
          <w:p w:rsidR="005D5635" w:rsidRDefault="00BF3A61">
            <w:pPr>
              <w:numPr>
                <w:ilvl w:val="0"/>
                <w:numId w:val="2"/>
              </w:num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Evaluación del año anterior (debe realizarse el primer trimestre del año posterior)</w:t>
            </w:r>
          </w:p>
        </w:tc>
      </w:tr>
      <w:tr w:rsidR="005D5635">
        <w:trPr>
          <w:trHeight w:val="800"/>
          <w:jc w:val="center"/>
        </w:trPr>
        <w:tc>
          <w:tcPr>
            <w:tcW w:w="9066" w:type="dxa"/>
            <w:shd w:val="clear" w:color="auto" w:fill="DEEAF6"/>
          </w:tcPr>
          <w:p w:rsidR="005D5635" w:rsidRDefault="00BF3A61">
            <w:pPr>
              <w:numPr>
                <w:ilvl w:val="0"/>
                <w:numId w:val="2"/>
              </w:num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Formulación del anteproyecto de presupuesto (debe completarse al final del primer semestre en su forma consolidada)</w:t>
            </w:r>
          </w:p>
        </w:tc>
      </w:tr>
      <w:tr w:rsidR="005D5635">
        <w:trPr>
          <w:trHeight w:val="1540"/>
          <w:jc w:val="center"/>
        </w:trPr>
        <w:tc>
          <w:tcPr>
            <w:tcW w:w="9066" w:type="dxa"/>
            <w:shd w:val="clear" w:color="auto" w:fill="BDD6EE"/>
          </w:tcPr>
          <w:p w:rsidR="005D5635" w:rsidRDefault="00BF3A61">
            <w:pPr>
              <w:numPr>
                <w:ilvl w:val="0"/>
                <w:numId w:val="2"/>
              </w:num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Aprobación del presupuesto (debe entregarse al CSU el </w:t>
            </w:r>
            <w:r>
              <w:rPr>
                <w:rFonts w:ascii="Bookman Old Style" w:eastAsia="Bookman Old Style" w:hAnsi="Bookman Old Style" w:cs="Bookman Old Style"/>
                <w:color w:val="000000"/>
              </w:rPr>
              <w:t>1 de septiembre para su respectivo análisis y, tener una aprobación preliminar sujeta a la aprobación final del Presupuesto General de Ingresos y Egresos de la Nación, en diciembre realizar reuniones extraordinarias para los ajustes correspondientes)</w:t>
            </w:r>
          </w:p>
        </w:tc>
      </w:tr>
    </w:tbl>
    <w:p w:rsidR="005D5635" w:rsidRDefault="00BF3A61">
      <w:pPr>
        <w:spacing w:after="0" w:line="240" w:lineRule="auto"/>
        <w:jc w:val="both"/>
        <w:rPr>
          <w:rFonts w:ascii="Bookman Old Style" w:eastAsia="Bookman Old Style" w:hAnsi="Bookman Old Style" w:cs="Bookman Old Style"/>
          <w:sz w:val="18"/>
          <w:szCs w:val="18"/>
        </w:rPr>
      </w:pPr>
      <w:r>
        <w:rPr>
          <w:rFonts w:ascii="Bookman Old Style" w:eastAsia="Bookman Old Style" w:hAnsi="Bookman Old Style" w:cs="Bookman Old Style"/>
          <w:i/>
          <w:sz w:val="18"/>
          <w:szCs w:val="18"/>
        </w:rPr>
        <w:t>* Esto debe hacerse de esa manera, en virtud de que la relación aporte constitucional/ingresos propios es de 31 a 1.</w:t>
      </w:r>
    </w:p>
    <w:p w:rsidR="005D5635" w:rsidRDefault="005D5635">
      <w:pPr>
        <w:spacing w:after="0" w:line="240" w:lineRule="auto"/>
        <w:jc w:val="both"/>
        <w:rPr>
          <w:rFonts w:ascii="Bookman Old Style" w:eastAsia="Bookman Old Style" w:hAnsi="Bookman Old Style" w:cs="Bookman Old Style"/>
          <w:sz w:val="18"/>
          <w:szCs w:val="18"/>
        </w:rPr>
      </w:pP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El ciclo presupuestario del Estado plantea que el 1 de septiembre el anteproyecto se envía al Congreso, a través de la Comisión de Finanz</w:t>
      </w:r>
      <w:r>
        <w:rPr>
          <w:rFonts w:ascii="Bookman Old Style" w:eastAsia="Bookman Old Style" w:hAnsi="Bookman Old Style" w:cs="Bookman Old Style"/>
          <w:sz w:val="24"/>
          <w:szCs w:val="24"/>
        </w:rPr>
        <w:t xml:space="preserve">as Públicas y Moneda; sin embargo, allí comienza una considerable cantidad de demandas sociales, en donde la USAC debe estar muy bien posicionada, producto de un lobby permanente para plantear sus visiones, principalmente en el plano de lo que se traslada </w:t>
      </w:r>
      <w:r>
        <w:rPr>
          <w:rFonts w:ascii="Bookman Old Style" w:eastAsia="Bookman Old Style" w:hAnsi="Bookman Old Style" w:cs="Bookman Old Style"/>
          <w:sz w:val="24"/>
          <w:szCs w:val="24"/>
        </w:rPr>
        <w:t>para transferencias corrientes y de capital (inversiones). Estas últimas son vitales para la Reforma Universitaria del futuro, porque se refiere a construcción de laboratorios, salones de clase, gran equipamiento, instalaciones deportivas y de recreación y</w:t>
      </w:r>
      <w:r>
        <w:rPr>
          <w:rFonts w:ascii="Bookman Old Style" w:eastAsia="Bookman Old Style" w:hAnsi="Bookman Old Style" w:cs="Bookman Old Style"/>
          <w:sz w:val="24"/>
          <w:szCs w:val="24"/>
        </w:rPr>
        <w:t xml:space="preserve"> demás.</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Entonces la propuesta apunta a lo siguiente: </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Debe existir una planificación financiera moderna, que cumpla la obligatoriedad de proyectar al año fiscal siguiente, la asignación de una ampliación en el presupuesto que garantice los fondos para nu</w:t>
      </w:r>
      <w:r>
        <w:rPr>
          <w:rFonts w:ascii="Bookman Old Style" w:eastAsia="Bookman Old Style" w:hAnsi="Bookman Old Style" w:cs="Bookman Old Style"/>
          <w:b/>
          <w:sz w:val="24"/>
          <w:szCs w:val="24"/>
        </w:rPr>
        <w:t xml:space="preserve">evas </w:t>
      </w:r>
      <w:r>
        <w:rPr>
          <w:rFonts w:ascii="Bookman Old Style" w:eastAsia="Bookman Old Style" w:hAnsi="Bookman Old Style" w:cs="Bookman Old Style"/>
          <w:b/>
          <w:sz w:val="24"/>
          <w:szCs w:val="24"/>
        </w:rPr>
        <w:lastRenderedPageBreak/>
        <w:t xml:space="preserve">contrataciones, proyectos, prestación de servicios, entre otros, evitando la generación de déficit presupuestario e inversiones en nuevas necesidades no presupuestadas. </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La Dirección Financiera y el CSU deben estar atentos a lo promulgado por el Cong</w:t>
      </w:r>
      <w:r>
        <w:rPr>
          <w:rFonts w:ascii="Bookman Old Style" w:eastAsia="Bookman Old Style" w:hAnsi="Bookman Old Style" w:cs="Bookman Old Style"/>
          <w:b/>
          <w:sz w:val="24"/>
          <w:szCs w:val="24"/>
        </w:rPr>
        <w:t>reso de la República el 1 de diciembre, que es la fecha de aprobación del presupuesto, para realizar los ajustes necesarios en ese mes para comenzar el año fiscal 2019, con los menores desajustes posibles, alertando a la Comunidad Universitaria de los camb</w:t>
      </w:r>
      <w:r>
        <w:rPr>
          <w:rFonts w:ascii="Bookman Old Style" w:eastAsia="Bookman Old Style" w:hAnsi="Bookman Old Style" w:cs="Bookman Old Style"/>
          <w:b/>
          <w:sz w:val="24"/>
          <w:szCs w:val="24"/>
        </w:rPr>
        <w:t>ios.</w:t>
      </w:r>
    </w:p>
    <w:p w:rsidR="005D5635" w:rsidRDefault="005D5635">
      <w:pPr>
        <w:spacing w:after="0" w:line="360" w:lineRule="auto"/>
        <w:ind w:left="0" w:hanging="2"/>
        <w:jc w:val="both"/>
        <w:rPr>
          <w:rFonts w:ascii="Book Antiqua" w:eastAsia="Book Antiqua" w:hAnsi="Book Antiqua" w:cs="Book Antiqua"/>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 xml:space="preserve">El delicado tema del plan de carrera </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El CSU debe replantearse la carrera docente y la carrera administrativa. En la primera debe estar muy bien cimentada la carrera de los investigadores, que son parte fundamental para un buen ranquin de Universidad, como lo ejemplifica la UNAM.</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Todas las co</w:t>
      </w:r>
      <w:r>
        <w:rPr>
          <w:rFonts w:ascii="Bookman Old Style" w:eastAsia="Bookman Old Style" w:hAnsi="Bookman Old Style" w:cs="Bookman Old Style"/>
          <w:sz w:val="24"/>
          <w:szCs w:val="24"/>
        </w:rPr>
        <w:t>ntrataciones deben ajustarse a dictámenes actuariales, debiendo constituirse el departamento de análisis estadístico y actuarial de la Universidad.</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 Antiqua" w:eastAsia="Book Antiqua" w:hAnsi="Book Antiqua" w:cs="Book Antiqua"/>
          <w:sz w:val="24"/>
          <w:szCs w:val="24"/>
        </w:rPr>
      </w:pPr>
      <w:r>
        <w:rPr>
          <w:rFonts w:ascii="Bookman Old Style" w:eastAsia="Bookman Old Style" w:hAnsi="Bookman Old Style" w:cs="Bookman Old Style"/>
          <w:sz w:val="24"/>
          <w:szCs w:val="24"/>
        </w:rPr>
        <w:t>Las contrataciones discrecionales han generado un déficit que impacta severamente en el presupuesto de la U</w:t>
      </w:r>
      <w:r>
        <w:rPr>
          <w:rFonts w:ascii="Bookman Old Style" w:eastAsia="Bookman Old Style" w:hAnsi="Bookman Old Style" w:cs="Bookman Old Style"/>
          <w:sz w:val="24"/>
          <w:szCs w:val="24"/>
        </w:rPr>
        <w:t>SAC. Existe una desorganización que ha permitido que personas que no cumplen con los requisitos y perfiles sean contratadas con salarios de profesionales colegiados sin poseer tal calidad, y viceversa. Por ejemplo, bachilleres con salarios de colegiados co</w:t>
      </w:r>
      <w:r>
        <w:rPr>
          <w:rFonts w:ascii="Bookman Old Style" w:eastAsia="Bookman Old Style" w:hAnsi="Bookman Old Style" w:cs="Bookman Old Style"/>
          <w:sz w:val="24"/>
          <w:szCs w:val="24"/>
        </w:rPr>
        <w:t>n grado de licenciatura o bien, perfiles de grado académico de licenciatura con salarios de bachilleres; también se dan casos de maestros (as) desempeñando funciones de peritos contadores, administradores, etc.</w:t>
      </w:r>
      <w:r>
        <w:rPr>
          <w:rFonts w:ascii="Book Antiqua" w:eastAsia="Book Antiqua" w:hAnsi="Book Antiqua" w:cs="Book Antiqua"/>
          <w:sz w:val="24"/>
          <w:szCs w:val="24"/>
        </w:rPr>
        <w:t xml:space="preserve"> </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Acorde a las buenas prácticas internacional</w:t>
      </w:r>
      <w:r>
        <w:rPr>
          <w:rFonts w:ascii="Bookman Old Style" w:eastAsia="Bookman Old Style" w:hAnsi="Bookman Old Style" w:cs="Bookman Old Style"/>
          <w:sz w:val="24"/>
          <w:szCs w:val="24"/>
        </w:rPr>
        <w:t>es universitarias, la USAC debe apegarse a indicadores que relacionen la actividad sustantiva de la Universidad (docencia, investigación y extensión), con la actividad de apoyo (colaboradores administrativos, logística, etc.).</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Si la Universidad de San Car</w:t>
      </w:r>
      <w:r>
        <w:rPr>
          <w:rFonts w:ascii="Bookman Old Style" w:eastAsia="Bookman Old Style" w:hAnsi="Bookman Old Style" w:cs="Bookman Old Style"/>
          <w:b/>
          <w:sz w:val="24"/>
          <w:szCs w:val="24"/>
        </w:rPr>
        <w:t xml:space="preserve">los realiza estudios de reforma a la Ley del Servicio Civil, debe dar el ejemplo aplicando concursos de oposición en las contracciones laborales, siempre que exista disponibilidad financiera. Esta disposición debe ser respaldada y respetada por el CSU, el </w:t>
      </w:r>
      <w:r>
        <w:rPr>
          <w:rFonts w:ascii="Bookman Old Style" w:eastAsia="Bookman Old Style" w:hAnsi="Bookman Old Style" w:cs="Bookman Old Style"/>
          <w:b/>
          <w:sz w:val="24"/>
          <w:szCs w:val="24"/>
        </w:rPr>
        <w:t>Señor Rector, con carácter de obligatoriedad para los órganos de dirección. Además, debe ser aplicada a facultades, escuelas no facultativas y centros universitarios, acotado a su sistema administrativo.</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Creación de centros universitarios y carreras en el</w:t>
      </w:r>
      <w:r>
        <w:rPr>
          <w:rFonts w:ascii="Bookman Old Style" w:eastAsia="Bookman Old Style" w:hAnsi="Bookman Old Style" w:cs="Bookman Old Style"/>
          <w:b/>
          <w:sz w:val="24"/>
          <w:szCs w:val="24"/>
        </w:rPr>
        <w:t xml:space="preserve"> interior</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La apertura de centros universitarios en el interior del país ha beneficiado a los habitantes de los 22 departamentos, porque la academia genera desarrollo. Es necesario consolidar y legitimar la presencia de los centros universitarios y evaluar la pertine</w:t>
      </w:r>
      <w:r>
        <w:rPr>
          <w:rFonts w:ascii="Bookman Old Style" w:eastAsia="Bookman Old Style" w:hAnsi="Bookman Old Style" w:cs="Bookman Old Style"/>
          <w:sz w:val="24"/>
          <w:szCs w:val="24"/>
        </w:rPr>
        <w:t xml:space="preserve">ncia de extensiones universitarias alrededor de dichos centros, acotando la posibilidad de autosostenibilidad financiera. </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spacing w:after="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Propuestas específicas a las autoridades de la USAC</w:t>
      </w:r>
      <w:r>
        <w:rPr>
          <w:rFonts w:ascii="Bookman Old Style" w:eastAsia="Bookman Old Style" w:hAnsi="Bookman Old Style" w:cs="Bookman Old Style"/>
          <w:sz w:val="24"/>
          <w:szCs w:val="24"/>
        </w:rPr>
        <w:t xml:space="preserve"> </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numPr>
          <w:ilvl w:val="0"/>
          <w:numId w:val="3"/>
        </w:numPr>
        <w:spacing w:after="0" w:line="360" w:lineRule="auto"/>
        <w:ind w:left="0" w:hanging="2"/>
        <w:jc w:val="both"/>
        <w:rPr>
          <w:sz w:val="24"/>
          <w:szCs w:val="24"/>
        </w:rPr>
      </w:pPr>
      <w:r>
        <w:rPr>
          <w:rFonts w:ascii="Bookman Old Style" w:eastAsia="Bookman Old Style" w:hAnsi="Bookman Old Style" w:cs="Bookman Old Style"/>
          <w:sz w:val="24"/>
          <w:szCs w:val="24"/>
        </w:rPr>
        <w:t>Considerando que los recursos son escasos, susceptible de varios usos, en</w:t>
      </w:r>
      <w:r>
        <w:rPr>
          <w:rFonts w:ascii="Bookman Old Style" w:eastAsia="Bookman Old Style" w:hAnsi="Bookman Old Style" w:cs="Bookman Old Style"/>
          <w:sz w:val="24"/>
          <w:szCs w:val="24"/>
        </w:rPr>
        <w:t>tre los cuales hay que optar, se debe proceder a la jerarquización en la asignación del gasto y, continuar con las medidas de ajuste y contención.</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numPr>
          <w:ilvl w:val="0"/>
          <w:numId w:val="3"/>
        </w:numPr>
        <w:spacing w:after="0" w:line="360" w:lineRule="auto"/>
        <w:ind w:left="0" w:hanging="2"/>
        <w:jc w:val="both"/>
        <w:rPr>
          <w:sz w:val="24"/>
          <w:szCs w:val="24"/>
        </w:rPr>
      </w:pPr>
      <w:r>
        <w:rPr>
          <w:rFonts w:ascii="Bookman Old Style" w:eastAsia="Bookman Old Style" w:hAnsi="Bookman Old Style" w:cs="Bookman Old Style"/>
          <w:sz w:val="24"/>
          <w:szCs w:val="24"/>
        </w:rPr>
        <w:t>Acercamientos permanentes tanto con el Organismo Ejecutivo como con el Legislativo, con el propósito de cana</w:t>
      </w:r>
      <w:r>
        <w:rPr>
          <w:rFonts w:ascii="Bookman Old Style" w:eastAsia="Bookman Old Style" w:hAnsi="Bookman Old Style" w:cs="Bookman Old Style"/>
          <w:sz w:val="24"/>
          <w:szCs w:val="24"/>
        </w:rPr>
        <w:t>lizar a tiempo los recursos que constitucionalmente le corresponden a la Universidad.</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numPr>
          <w:ilvl w:val="0"/>
          <w:numId w:val="3"/>
        </w:numPr>
        <w:spacing w:after="0" w:line="360" w:lineRule="auto"/>
        <w:ind w:left="0" w:hanging="2"/>
        <w:jc w:val="both"/>
        <w:rPr>
          <w:sz w:val="24"/>
          <w:szCs w:val="24"/>
        </w:rPr>
      </w:pPr>
      <w:r>
        <w:rPr>
          <w:rFonts w:ascii="Bookman Old Style" w:eastAsia="Bookman Old Style" w:hAnsi="Bookman Old Style" w:cs="Bookman Old Style"/>
          <w:sz w:val="24"/>
          <w:szCs w:val="24"/>
        </w:rPr>
        <w:t xml:space="preserve">Presentar periódicamente un informe detallado por la Dirección General Financiera, que aclare dudas en relación a al traslado del aporte constitucional y extraordinario </w:t>
      </w:r>
      <w:r>
        <w:rPr>
          <w:rFonts w:ascii="Bookman Old Style" w:eastAsia="Bookman Old Style" w:hAnsi="Bookman Old Style" w:cs="Bookman Old Style"/>
          <w:sz w:val="24"/>
          <w:szCs w:val="24"/>
        </w:rPr>
        <w:t xml:space="preserve">para la USAC. </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numPr>
          <w:ilvl w:val="0"/>
          <w:numId w:val="3"/>
        </w:numPr>
        <w:spacing w:after="0" w:line="360" w:lineRule="auto"/>
        <w:ind w:left="0" w:hanging="2"/>
        <w:jc w:val="both"/>
        <w:rPr>
          <w:sz w:val="24"/>
          <w:szCs w:val="24"/>
        </w:rPr>
      </w:pPr>
      <w:r>
        <w:rPr>
          <w:rFonts w:ascii="Bookman Old Style" w:eastAsia="Bookman Old Style" w:hAnsi="Bookman Old Style" w:cs="Bookman Old Style"/>
          <w:sz w:val="24"/>
          <w:szCs w:val="24"/>
        </w:rPr>
        <w:t>Diseñar un presupuesto multianual para el resto del periodo rectoral, que sirva de base para la incidencia en la aprobación de los presupuestos del Estado para los próximos cuatro años.</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numPr>
          <w:ilvl w:val="0"/>
          <w:numId w:val="3"/>
        </w:numPr>
        <w:spacing w:after="0" w:line="360" w:lineRule="auto"/>
        <w:ind w:left="0" w:hanging="2"/>
        <w:jc w:val="both"/>
        <w:rPr>
          <w:sz w:val="24"/>
          <w:szCs w:val="24"/>
        </w:rPr>
      </w:pPr>
      <w:r>
        <w:rPr>
          <w:rFonts w:ascii="Bookman Old Style" w:eastAsia="Bookman Old Style" w:hAnsi="Bookman Old Style" w:cs="Bookman Old Style"/>
          <w:sz w:val="24"/>
          <w:szCs w:val="24"/>
        </w:rPr>
        <w:t>Construir una unidad de acción ante la crisis, que in</w:t>
      </w:r>
      <w:r>
        <w:rPr>
          <w:rFonts w:ascii="Bookman Old Style" w:eastAsia="Bookman Old Style" w:hAnsi="Bookman Old Style" w:cs="Bookman Old Style"/>
          <w:sz w:val="24"/>
          <w:szCs w:val="24"/>
        </w:rPr>
        <w:t>volucre a todos los actores universitarios.</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numPr>
          <w:ilvl w:val="0"/>
          <w:numId w:val="3"/>
        </w:numPr>
        <w:spacing w:after="0" w:line="360" w:lineRule="auto"/>
        <w:ind w:left="0" w:hanging="2"/>
        <w:jc w:val="both"/>
        <w:rPr>
          <w:sz w:val="24"/>
          <w:szCs w:val="24"/>
        </w:rPr>
      </w:pPr>
      <w:r>
        <w:rPr>
          <w:rFonts w:ascii="Bookman Old Style" w:eastAsia="Bookman Old Style" w:hAnsi="Bookman Old Style" w:cs="Bookman Old Style"/>
          <w:sz w:val="24"/>
          <w:szCs w:val="24"/>
        </w:rPr>
        <w:t>Desarrollar una estrategia de comunicación que explique nuestra posición y actuación.</w:t>
      </w:r>
    </w:p>
    <w:p w:rsidR="005D5635" w:rsidRDefault="005D5635">
      <w:pPr>
        <w:spacing w:after="0" w:line="360" w:lineRule="auto"/>
        <w:ind w:left="0" w:hanging="2"/>
        <w:jc w:val="both"/>
        <w:rPr>
          <w:rFonts w:ascii="Bookman Old Style" w:eastAsia="Bookman Old Style" w:hAnsi="Bookman Old Style" w:cs="Bookman Old Style"/>
          <w:sz w:val="24"/>
          <w:szCs w:val="24"/>
        </w:rPr>
      </w:pPr>
    </w:p>
    <w:p w:rsidR="005D5635" w:rsidRDefault="00BF3A61">
      <w:pPr>
        <w:numPr>
          <w:ilvl w:val="0"/>
          <w:numId w:val="3"/>
        </w:numPr>
        <w:spacing w:after="0" w:line="360" w:lineRule="auto"/>
        <w:ind w:left="0" w:hanging="2"/>
        <w:jc w:val="both"/>
        <w:rPr>
          <w:sz w:val="24"/>
          <w:szCs w:val="24"/>
        </w:rPr>
      </w:pPr>
      <w:r>
        <w:rPr>
          <w:rFonts w:ascii="Bookman Old Style" w:eastAsia="Bookman Old Style" w:hAnsi="Bookman Old Style" w:cs="Bookman Old Style"/>
          <w:sz w:val="24"/>
          <w:szCs w:val="24"/>
        </w:rPr>
        <w:t>Asumir un liderazgo nacional que reivindique, ante el Congreso de la República, que haya un Presupuesto de Ingresos y Egreso</w:t>
      </w:r>
      <w:r>
        <w:rPr>
          <w:rFonts w:ascii="Bookman Old Style" w:eastAsia="Bookman Old Style" w:hAnsi="Bookman Old Style" w:cs="Bookman Old Style"/>
          <w:sz w:val="24"/>
          <w:szCs w:val="24"/>
        </w:rPr>
        <w:t xml:space="preserve">s de la Nación 2019/2020, con los recursos contemplados en el anteproyecto presentado por el Ministerio de Finanzas Públicas, para que se evite la posibilidad de volver a tener el presupuesto del año 2017. </w:t>
      </w:r>
    </w:p>
    <w:p w:rsidR="005D5635" w:rsidRDefault="005D5635">
      <w:pPr>
        <w:spacing w:after="0" w:line="360" w:lineRule="auto"/>
        <w:ind w:left="0" w:hanging="2"/>
        <w:jc w:val="both"/>
        <w:rPr>
          <w:sz w:val="24"/>
          <w:szCs w:val="24"/>
        </w:rPr>
      </w:pPr>
    </w:p>
    <w:sectPr w:rsidR="005D5635">
      <w:headerReference w:type="even" r:id="rId12"/>
      <w:headerReference w:type="default" r:id="rId13"/>
      <w:footerReference w:type="even" r:id="rId14"/>
      <w:footerReference w:type="default" r:id="rId15"/>
      <w:headerReference w:type="first" r:id="rId16"/>
      <w:footerReference w:type="first" r:id="rId17"/>
      <w:pgSz w:w="12240" w:h="15840"/>
      <w:pgMar w:top="1418" w:right="1418" w:bottom="1418"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F3A61">
      <w:pPr>
        <w:spacing w:after="0" w:line="240" w:lineRule="auto"/>
        <w:ind w:left="0" w:hanging="2"/>
      </w:pPr>
      <w:r>
        <w:separator/>
      </w:r>
    </w:p>
  </w:endnote>
  <w:endnote w:type="continuationSeparator" w:id="0">
    <w:p w:rsidR="00000000" w:rsidRDefault="00BF3A6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panose1 w:val="020B0502040504020204"/>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auto"/>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635" w:rsidRDefault="005D5635">
    <w:pPr>
      <w:pBdr>
        <w:top w:val="nil"/>
        <w:left w:val="nil"/>
        <w:bottom w:val="nil"/>
        <w:right w:val="nil"/>
        <w:between w:val="nil"/>
      </w:pBdr>
      <w:tabs>
        <w:tab w:val="center" w:pos="4419"/>
        <w:tab w:val="right" w:pos="8838"/>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635" w:rsidRDefault="00BF3A61">
    <w:pPr>
      <w:pBdr>
        <w:top w:val="nil"/>
        <w:left w:val="nil"/>
        <w:bottom w:val="nil"/>
        <w:right w:val="nil"/>
        <w:between w:val="nil"/>
      </w:pBdr>
      <w:tabs>
        <w:tab w:val="center" w:pos="4419"/>
        <w:tab w:val="right" w:pos="8838"/>
      </w:tabs>
      <w:spacing w:after="0" w:line="240" w:lineRule="auto"/>
      <w:ind w:left="0" w:hanging="2"/>
      <w:jc w:val="right"/>
      <w:rPr>
        <w:rFonts w:ascii="Bookman Old Style" w:eastAsia="Bookman Old Style" w:hAnsi="Bookman Old Style" w:cs="Bookman Old Style"/>
        <w:color w:val="000000"/>
      </w:rPr>
    </w:pPr>
    <w:r>
      <w:rPr>
        <w:rFonts w:ascii="Bookman Old Style" w:eastAsia="Bookman Old Style" w:hAnsi="Bookman Old Style" w:cs="Bookman Old Style"/>
        <w:color w:val="000000"/>
      </w:rPr>
      <w:fldChar w:fldCharType="begin"/>
    </w:r>
    <w:r>
      <w:rPr>
        <w:rFonts w:ascii="Bookman Old Style" w:eastAsia="Bookman Old Style" w:hAnsi="Bookman Old Style" w:cs="Bookman Old Style"/>
        <w:color w:val="000000"/>
      </w:rPr>
      <w:instrText>PAGE</w:instrText>
    </w:r>
    <w:r>
      <w:rPr>
        <w:rFonts w:ascii="Bookman Old Style" w:eastAsia="Bookman Old Style" w:hAnsi="Bookman Old Style" w:cs="Bookman Old Style"/>
        <w:color w:val="000000"/>
      </w:rPr>
      <w:fldChar w:fldCharType="separate"/>
    </w:r>
    <w:r>
      <w:rPr>
        <w:rFonts w:ascii="Bookman Old Style" w:eastAsia="Bookman Old Style" w:hAnsi="Bookman Old Style" w:cs="Bookman Old Style"/>
        <w:noProof/>
        <w:color w:val="000000"/>
      </w:rPr>
      <w:t>1</w:t>
    </w:r>
    <w:r>
      <w:rPr>
        <w:rFonts w:ascii="Bookman Old Style" w:eastAsia="Bookman Old Style" w:hAnsi="Bookman Old Style" w:cs="Bookman Old Style"/>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635" w:rsidRDefault="005D5635">
    <w:pPr>
      <w:pBdr>
        <w:top w:val="nil"/>
        <w:left w:val="nil"/>
        <w:bottom w:val="nil"/>
        <w:right w:val="nil"/>
        <w:between w:val="nil"/>
      </w:pBdr>
      <w:tabs>
        <w:tab w:val="center" w:pos="4419"/>
        <w:tab w:val="right" w:pos="8838"/>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F3A61">
      <w:pPr>
        <w:spacing w:after="0" w:line="240" w:lineRule="auto"/>
        <w:ind w:left="0" w:hanging="2"/>
      </w:pPr>
      <w:r>
        <w:separator/>
      </w:r>
    </w:p>
  </w:footnote>
  <w:footnote w:type="continuationSeparator" w:id="0">
    <w:p w:rsidR="00000000" w:rsidRDefault="00BF3A61">
      <w:pPr>
        <w:spacing w:after="0" w:line="240" w:lineRule="auto"/>
        <w:ind w:left="0" w:hanging="2"/>
      </w:pPr>
      <w:r>
        <w:continuationSeparator/>
      </w:r>
    </w:p>
  </w:footnote>
  <w:footnote w:id="1">
    <w:p w:rsidR="005D5635" w:rsidRDefault="00BF3A61">
      <w:pPr>
        <w:spacing w:after="0" w:line="240" w:lineRule="auto"/>
        <w:ind w:left="0" w:hanging="2"/>
        <w:jc w:val="both"/>
        <w:rPr>
          <w:rFonts w:ascii="Bookman Old Style" w:eastAsia="Bookman Old Style" w:hAnsi="Bookman Old Style" w:cs="Bookman Old Style"/>
          <w:sz w:val="18"/>
          <w:szCs w:val="18"/>
        </w:rPr>
      </w:pPr>
      <w:r>
        <w:rPr>
          <w:vertAlign w:val="superscript"/>
        </w:rPr>
        <w:footnoteRef/>
      </w:r>
      <w:r>
        <w:rPr>
          <w:rFonts w:ascii="Bookman Old Style" w:eastAsia="Bookman Old Style" w:hAnsi="Bookman Old Style" w:cs="Bookman Old Style"/>
          <w:sz w:val="18"/>
          <w:szCs w:val="18"/>
        </w:rPr>
        <w:t xml:space="preserve"> Según el Artículo 2 de la Ley Orgánica de la Universidad de San Carlos de Guatemala, el fin fundamental de la USAC es elevar el nivel espiritual de los habitantes de la República, conservando, promoviendo y difundiendo la cultura y el saber científico.</w:t>
      </w:r>
    </w:p>
  </w:footnote>
  <w:footnote w:id="2">
    <w:p w:rsidR="005D5635" w:rsidRDefault="00BF3A61">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18"/>
          <w:szCs w:val="18"/>
        </w:rPr>
      </w:pPr>
      <w:r>
        <w:rPr>
          <w:vertAlign w:val="superscript"/>
        </w:rPr>
        <w:footnoteRef/>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rPr>
        <w:t>Los ingresos ordinarios son aquellos que el Estado recibe de forma regular, con los que cuenta común y habitualmente, es decir, los ingresos tributarios. Según la sentencia del 13 de noviembre de 2007 (expediente 1688-2007), de la Corte de Constitucionalid</w:t>
      </w:r>
      <w:r>
        <w:rPr>
          <w:rFonts w:ascii="Bookman Old Style" w:eastAsia="Bookman Old Style" w:hAnsi="Bookman Old Style" w:cs="Bookman Old Style"/>
          <w:color w:val="000000"/>
          <w:sz w:val="18"/>
          <w:szCs w:val="18"/>
        </w:rPr>
        <w:t>ad, los ingresos ordinarios son fundamentalmente los impuestos, ya que tienen carácter de permanencia.</w:t>
      </w:r>
    </w:p>
    <w:p w:rsidR="005D5635" w:rsidRDefault="005D5635">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18"/>
          <w:szCs w:val="18"/>
        </w:rPr>
      </w:pPr>
    </w:p>
  </w:footnote>
  <w:footnote w:id="3">
    <w:p w:rsidR="005D5635" w:rsidRDefault="00BF3A61">
      <w:pPr>
        <w:pBdr>
          <w:top w:val="nil"/>
          <w:left w:val="nil"/>
          <w:bottom w:val="nil"/>
          <w:right w:val="nil"/>
          <w:between w:val="nil"/>
        </w:pBdr>
        <w:spacing w:after="0" w:line="240" w:lineRule="auto"/>
        <w:ind w:left="0" w:hanging="2"/>
        <w:rPr>
          <w:rFonts w:ascii="Bookman Old Style" w:eastAsia="Bookman Old Style" w:hAnsi="Bookman Old Style" w:cs="Bookman Old Style"/>
          <w:color w:val="000000"/>
          <w:sz w:val="18"/>
          <w:szCs w:val="18"/>
        </w:rPr>
      </w:pPr>
      <w:r>
        <w:rPr>
          <w:vertAlign w:val="superscript"/>
        </w:rPr>
        <w:footnoteRef/>
      </w:r>
      <w:r>
        <w:rPr>
          <w:rFonts w:ascii="Bookman Old Style" w:eastAsia="Bookman Old Style" w:hAnsi="Bookman Old Style" w:cs="Bookman Old Style"/>
          <w:color w:val="000000"/>
          <w:sz w:val="18"/>
          <w:szCs w:val="18"/>
        </w:rPr>
        <w:t xml:space="preserve"> Artículo 84 del Constitución Política de la República de Guatemala</w:t>
      </w:r>
    </w:p>
  </w:footnote>
  <w:footnote w:id="4">
    <w:p w:rsidR="005D5635" w:rsidRDefault="00BF3A61">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18"/>
          <w:szCs w:val="18"/>
        </w:rPr>
      </w:pPr>
      <w:r>
        <w:rPr>
          <w:vertAlign w:val="superscript"/>
        </w:rPr>
        <w:footnoteRef/>
      </w:r>
    </w:p>
    <w:p w:rsidR="005D5635" w:rsidRDefault="00BF3A61">
      <w:pPr>
        <w:pBdr>
          <w:top w:val="nil"/>
          <w:left w:val="nil"/>
          <w:bottom w:val="nil"/>
          <w:right w:val="nil"/>
          <w:between w:val="nil"/>
        </w:pBdr>
        <w:spacing w:after="0" w:line="240" w:lineRule="auto"/>
        <w:ind w:left="0" w:hanging="2"/>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Sentencia del 10 de junio del 2014, expediente No. 5298-2013 y Gaceta No. 112.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635" w:rsidRDefault="005D5635">
    <w:pPr>
      <w:pBdr>
        <w:top w:val="nil"/>
        <w:left w:val="nil"/>
        <w:bottom w:val="nil"/>
        <w:right w:val="nil"/>
        <w:between w:val="nil"/>
      </w:pBdr>
      <w:tabs>
        <w:tab w:val="center" w:pos="4419"/>
        <w:tab w:val="right" w:pos="8838"/>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635" w:rsidRDefault="005D5635">
    <w:pPr>
      <w:pBdr>
        <w:top w:val="nil"/>
        <w:left w:val="nil"/>
        <w:bottom w:val="nil"/>
        <w:right w:val="nil"/>
        <w:between w:val="nil"/>
      </w:pBdr>
      <w:tabs>
        <w:tab w:val="center" w:pos="4419"/>
        <w:tab w:val="right" w:pos="8838"/>
      </w:tabs>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635" w:rsidRDefault="005D5635">
    <w:pPr>
      <w:pBdr>
        <w:top w:val="nil"/>
        <w:left w:val="nil"/>
        <w:bottom w:val="nil"/>
        <w:right w:val="nil"/>
        <w:between w:val="nil"/>
      </w:pBdr>
      <w:tabs>
        <w:tab w:val="center" w:pos="4419"/>
        <w:tab w:val="right" w:pos="8838"/>
      </w:tabs>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F2779"/>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5360B71"/>
    <w:multiLevelType w:val="multilevel"/>
    <w:tmpl w:val="FFFFFFFF"/>
    <w:lvl w:ilvl="0">
      <w:start w:val="26"/>
      <w:numFmt w:val="bullet"/>
      <w:lvlText w:val="-"/>
      <w:lvlJc w:val="left"/>
      <w:pPr>
        <w:ind w:left="720" w:hanging="360"/>
      </w:pPr>
      <w:rPr>
        <w:rFonts w:ascii="Bookman Old Style" w:eastAsia="Bookman Old Style" w:hAnsi="Bookman Old Style" w:cs="Bookman Old Style"/>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7CB8620D"/>
    <w:multiLevelType w:val="multilevel"/>
    <w:tmpl w:val="FFFFFFFF"/>
    <w:lvl w:ilvl="0">
      <w:start w:val="26"/>
      <w:numFmt w:val="bullet"/>
      <w:lvlText w:val="-"/>
      <w:lvlJc w:val="left"/>
      <w:pPr>
        <w:ind w:left="720" w:hanging="360"/>
      </w:pPr>
      <w:rPr>
        <w:rFonts w:ascii="Bookman Old Style" w:eastAsia="Bookman Old Style" w:hAnsi="Bookman Old Style" w:cs="Bookman Old Style"/>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635"/>
    <w:rsid w:val="005D5635"/>
    <w:rsid w:val="00BF3A6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docId w15:val="{8E69EFF6-03D0-7546-A64D-5C4695D6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HN"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qFormat/>
    <w:pPr>
      <w:tabs>
        <w:tab w:val="center" w:pos="4419"/>
        <w:tab w:val="right" w:pos="8838"/>
      </w:tabs>
    </w:pPr>
    <w:rPr>
      <w:lang/>
    </w:rPr>
  </w:style>
  <w:style w:type="character" w:customStyle="1" w:styleId="EncabezadoCar">
    <w:name w:val="Encabezado Car"/>
    <w:rPr>
      <w:w w:val="100"/>
      <w:position w:val="-1"/>
      <w:sz w:val="22"/>
      <w:szCs w:val="22"/>
      <w:effect w:val="none"/>
      <w:vertAlign w:val="baseline"/>
      <w:cs w:val="0"/>
      <w:em w:val="none"/>
      <w:lang w:eastAsia="en-US"/>
    </w:rPr>
  </w:style>
  <w:style w:type="paragraph" w:styleId="Piedepgina">
    <w:name w:val="footer"/>
    <w:basedOn w:val="Normal"/>
    <w:qFormat/>
    <w:pPr>
      <w:tabs>
        <w:tab w:val="center" w:pos="4419"/>
        <w:tab w:val="right" w:pos="8838"/>
      </w:tabs>
    </w:pPr>
    <w:rPr>
      <w:lang/>
    </w:rPr>
  </w:style>
  <w:style w:type="character" w:customStyle="1" w:styleId="PiedepginaCar">
    <w:name w:val="Pie de página Car"/>
    <w:rPr>
      <w:w w:val="100"/>
      <w:position w:val="-1"/>
      <w:sz w:val="22"/>
      <w:szCs w:val="22"/>
      <w:effect w:val="none"/>
      <w:vertAlign w:val="baseline"/>
      <w:cs w:val="0"/>
      <w:em w:val="none"/>
      <w:lang w:eastAsia="en-US"/>
    </w:rPr>
  </w:style>
  <w:style w:type="paragraph" w:styleId="Textoindependiente">
    <w:name w:val="Body Text"/>
    <w:basedOn w:val="Normal"/>
    <w:pPr>
      <w:widowControl w:val="0"/>
      <w:autoSpaceDE w:val="0"/>
      <w:autoSpaceDN w:val="0"/>
      <w:spacing w:after="0" w:line="240" w:lineRule="auto"/>
    </w:pPr>
    <w:rPr>
      <w:rFonts w:ascii="Arial" w:eastAsia="Arial" w:hAnsi="Arial"/>
      <w:lang w:val="en-US"/>
    </w:rPr>
  </w:style>
  <w:style w:type="character" w:customStyle="1" w:styleId="TextoindependienteCar">
    <w:name w:val="Texto independiente Car"/>
    <w:rPr>
      <w:rFonts w:ascii="Arial" w:eastAsia="Arial" w:hAnsi="Arial" w:cs="Arial"/>
      <w:w w:val="100"/>
      <w:position w:val="-1"/>
      <w:sz w:val="22"/>
      <w:szCs w:val="22"/>
      <w:effect w:val="none"/>
      <w:vertAlign w:val="baseline"/>
      <w:cs w:val="0"/>
      <w:em w:val="none"/>
      <w:lang w:val="en-US" w:eastAsia="en-US"/>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qFormat/>
    <w:rPr>
      <w:sz w:val="20"/>
      <w:szCs w:val="20"/>
    </w:rPr>
  </w:style>
  <w:style w:type="character" w:customStyle="1" w:styleId="TextonotapieCar">
    <w:name w:val="Texto nota pie Car"/>
    <w:rPr>
      <w:w w:val="100"/>
      <w:position w:val="-1"/>
      <w:effect w:val="none"/>
      <w:vertAlign w:val="baseline"/>
      <w:cs w:val="0"/>
      <w:em w:val="none"/>
      <w:lang w:val="es-HN" w:eastAsia="en-US"/>
    </w:rPr>
  </w:style>
  <w:style w:type="character" w:styleId="Refdenotaalpie">
    <w:name w:val="footnote reference"/>
    <w:qFormat/>
    <w:rPr>
      <w:w w:val="100"/>
      <w:position w:val="-1"/>
      <w:effect w:val="none"/>
      <w:vertAlign w:val="superscript"/>
      <w:cs w:val="0"/>
      <w:em w:val="none"/>
    </w:rPr>
  </w:style>
  <w:style w:type="paragraph" w:styleId="Prrafodelista">
    <w:name w:val="List Paragraph"/>
    <w:basedOn w:val="Normal"/>
    <w:pPr>
      <w:spacing w:after="0" w:line="240" w:lineRule="auto"/>
      <w:ind w:left="720"/>
      <w:contextualSpacing/>
    </w:pPr>
    <w:rPr>
      <w:rFonts w:cs="Times New Roman"/>
      <w:sz w:val="24"/>
      <w:szCs w:val="24"/>
      <w:lang w:val="es-ES"/>
    </w:rPr>
  </w:style>
  <w:style w:type="paragraph" w:styleId="Sinespaciado">
    <w:name w:val="No Spacing"/>
    <w:pPr>
      <w:suppressAutoHyphens/>
      <w:spacing w:line="1" w:lineRule="atLeast"/>
      <w:ind w:leftChars="-1" w:left="-1" w:hangingChars="1" w:hanging="1"/>
      <w:textDirection w:val="btLr"/>
      <w:textAlignment w:val="top"/>
      <w:outlineLvl w:val="0"/>
    </w:pPr>
    <w:rPr>
      <w:position w:val="-1"/>
      <w:sz w:val="24"/>
      <w:szCs w:val="24"/>
      <w:lang w:val="es-E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header" Target="header2.xm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1.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header" Target="head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5" Type="http://schemas.openxmlformats.org/officeDocument/2006/relationships/footnotes" Target="footnotes.xml" /><Relationship Id="rId15" Type="http://schemas.openxmlformats.org/officeDocument/2006/relationships/footer" Target="footer2.xml" /><Relationship Id="rId10" Type="http://schemas.openxmlformats.org/officeDocument/2006/relationships/image" Target="media/image4.png"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4026</Words>
  <Characters>22149</Characters>
  <Application>Microsoft Office Word</Application>
  <DocSecurity>0</DocSecurity>
  <Lines>184</Lines>
  <Paragraphs>52</Paragraphs>
  <ScaleCrop>false</ScaleCrop>
  <Company/>
  <LinksUpToDate>false</LinksUpToDate>
  <CharactersWithSpaces>26123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Andrely</dc:creator>
  <cp:lastModifiedBy>Francisco Simon Francisco</cp:lastModifiedBy>
  <cp:revision>2</cp:revision>
  <dcterms:created xsi:type="dcterms:W3CDTF">2019-08-13T23:54:00Z</dcterms:created>
  <dcterms:modified xsi:type="dcterms:W3CDTF">2019-08-13T23:54:00Z</dcterms:modified>
</cp:coreProperties>
</file>